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C5E" w:rsidRDefault="002E3C5E" w:rsidP="002E3C5E">
      <w:pPr>
        <w:rPr>
          <w:b/>
          <w:bCs/>
        </w:rPr>
      </w:pPr>
    </w:p>
    <w:p w:rsidR="002E3C5E" w:rsidRDefault="002E3C5E" w:rsidP="002E3C5E">
      <w:pPr>
        <w:rPr>
          <w:b/>
          <w:bCs/>
        </w:rPr>
      </w:pPr>
    </w:p>
    <w:p w:rsidR="002E3C5E" w:rsidRDefault="002E3C5E" w:rsidP="002E3C5E">
      <w:pPr>
        <w:jc w:val="center"/>
        <w:rPr>
          <w:b/>
          <w:bCs/>
        </w:rPr>
      </w:pPr>
    </w:p>
    <w:p w:rsidR="002E3C5E" w:rsidRDefault="00E050D8" w:rsidP="002E3C5E">
      <w:pPr>
        <w:jc w:val="center"/>
        <w:rPr>
          <w:b/>
          <w:bCs/>
        </w:rPr>
      </w:pPr>
      <w:bookmarkStart w:id="0" w:name="_GoBack"/>
      <w:r>
        <w:rPr>
          <w:b/>
          <w:bCs/>
          <w:noProof/>
          <w:lang w:eastAsia="en-GB"/>
        </w:rPr>
        <w:drawing>
          <wp:inline distT="0" distB="0" distL="0" distR="0" wp14:anchorId="18ABEABC">
            <wp:extent cx="2145665" cy="1103630"/>
            <wp:effectExtent l="0" t="0" r="6985" b="1270"/>
            <wp:docPr id="1" name="Picture 1" descr="logo " title="Mid Ulster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5665" cy="1103630"/>
                    </a:xfrm>
                    <a:prstGeom prst="rect">
                      <a:avLst/>
                    </a:prstGeom>
                    <a:noFill/>
                  </pic:spPr>
                </pic:pic>
              </a:graphicData>
            </a:graphic>
          </wp:inline>
        </w:drawing>
      </w:r>
      <w:bookmarkEnd w:id="0"/>
    </w:p>
    <w:p w:rsidR="002E3C5E" w:rsidRDefault="002E3C5E" w:rsidP="002E3C5E">
      <w:pPr>
        <w:jc w:val="center"/>
        <w:rPr>
          <w:b/>
          <w:bCs/>
        </w:rPr>
      </w:pPr>
    </w:p>
    <w:p w:rsidR="002E3C5E" w:rsidRDefault="002E3C5E" w:rsidP="002E3C5E">
      <w:pPr>
        <w:jc w:val="center"/>
        <w:rPr>
          <w:b/>
          <w:bCs/>
        </w:rPr>
      </w:pPr>
    </w:p>
    <w:p w:rsidR="002E3C5E" w:rsidRDefault="002E3C5E" w:rsidP="002E3C5E">
      <w:pPr>
        <w:jc w:val="center"/>
        <w:rPr>
          <w:b/>
          <w:bCs/>
        </w:rPr>
      </w:pPr>
    </w:p>
    <w:p w:rsidR="002E3C5E" w:rsidRDefault="002E3C5E" w:rsidP="00E050D8">
      <w:pPr>
        <w:rPr>
          <w:b/>
          <w:bCs/>
        </w:rPr>
      </w:pPr>
    </w:p>
    <w:p w:rsidR="002E3C5E" w:rsidRDefault="002E3C5E" w:rsidP="002E3C5E">
      <w:pPr>
        <w:jc w:val="center"/>
        <w:rPr>
          <w:b/>
          <w:bCs/>
        </w:rPr>
      </w:pPr>
    </w:p>
    <w:p w:rsidR="002E3C5E" w:rsidRDefault="002E3C5E" w:rsidP="002E3C5E">
      <w:pPr>
        <w:jc w:val="center"/>
        <w:rPr>
          <w:b/>
          <w:bCs/>
        </w:rPr>
      </w:pPr>
    </w:p>
    <w:p w:rsidR="002E3C5E" w:rsidRPr="00B056C9" w:rsidRDefault="002E3C5E" w:rsidP="002E3C5E">
      <w:pPr>
        <w:jc w:val="center"/>
        <w:rPr>
          <w:rFonts w:ascii="Arial" w:hAnsi="Arial" w:cs="Arial"/>
          <w:b/>
          <w:bCs/>
          <w:sz w:val="26"/>
          <w:szCs w:val="26"/>
        </w:rPr>
      </w:pPr>
      <w:r w:rsidRPr="00B056C9">
        <w:rPr>
          <w:rFonts w:ascii="Arial" w:hAnsi="Arial" w:cs="Arial"/>
          <w:b/>
          <w:bCs/>
          <w:sz w:val="26"/>
          <w:szCs w:val="26"/>
        </w:rPr>
        <w:t>MID ULSTER</w:t>
      </w:r>
    </w:p>
    <w:p w:rsidR="002E3C5E" w:rsidRPr="00B056C9" w:rsidRDefault="002E3C5E" w:rsidP="002E3C5E">
      <w:pPr>
        <w:jc w:val="center"/>
        <w:rPr>
          <w:rFonts w:ascii="Arial" w:hAnsi="Arial" w:cs="Arial"/>
          <w:b/>
          <w:bCs/>
          <w:sz w:val="26"/>
          <w:szCs w:val="26"/>
        </w:rPr>
      </w:pPr>
      <w:r w:rsidRPr="00B056C9">
        <w:rPr>
          <w:rFonts w:ascii="Arial" w:hAnsi="Arial" w:cs="Arial"/>
          <w:b/>
          <w:bCs/>
          <w:sz w:val="26"/>
          <w:szCs w:val="26"/>
        </w:rPr>
        <w:t>Position Paper – Housing Allocation</w:t>
      </w:r>
    </w:p>
    <w:p w:rsidR="002E3C5E" w:rsidRPr="00B056C9" w:rsidRDefault="002E3C5E" w:rsidP="002E3C5E">
      <w:pPr>
        <w:jc w:val="center"/>
        <w:rPr>
          <w:rFonts w:ascii="Arial" w:hAnsi="Arial" w:cs="Arial"/>
          <w:bCs/>
          <w:sz w:val="26"/>
          <w:szCs w:val="26"/>
        </w:rPr>
      </w:pPr>
      <w:r w:rsidRPr="00B056C9">
        <w:rPr>
          <w:rFonts w:ascii="Arial" w:hAnsi="Arial" w:cs="Arial"/>
          <w:bCs/>
          <w:sz w:val="26"/>
          <w:szCs w:val="26"/>
        </w:rPr>
        <w:t>Addendum – Revised HGI figures</w:t>
      </w:r>
    </w:p>
    <w:p w:rsidR="002E3C5E" w:rsidRPr="00B056C9" w:rsidRDefault="002E3C5E" w:rsidP="002E3C5E">
      <w:pPr>
        <w:jc w:val="center"/>
        <w:rPr>
          <w:rFonts w:ascii="Arial" w:hAnsi="Arial" w:cs="Arial"/>
          <w:b/>
          <w:bCs/>
          <w:sz w:val="26"/>
          <w:szCs w:val="26"/>
        </w:rPr>
      </w:pPr>
      <w:r w:rsidRPr="00B056C9">
        <w:rPr>
          <w:rFonts w:ascii="Arial" w:hAnsi="Arial" w:cs="Arial"/>
          <w:b/>
          <w:bCs/>
          <w:sz w:val="26"/>
          <w:szCs w:val="26"/>
        </w:rPr>
        <w:t>June 2016</w:t>
      </w:r>
    </w:p>
    <w:p w:rsidR="002E3C5E" w:rsidRDefault="002E3C5E" w:rsidP="002E3C5E">
      <w:pPr>
        <w:rPr>
          <w:b/>
          <w:bCs/>
        </w:rPr>
      </w:pPr>
    </w:p>
    <w:p w:rsidR="002E3C5E" w:rsidRDefault="002E3C5E" w:rsidP="002E3C5E">
      <w:pPr>
        <w:rPr>
          <w:b/>
          <w:bCs/>
        </w:rPr>
      </w:pPr>
    </w:p>
    <w:p w:rsidR="002E3C5E" w:rsidRDefault="002E3C5E" w:rsidP="002E3C5E">
      <w:pPr>
        <w:rPr>
          <w:b/>
          <w:bCs/>
        </w:rPr>
      </w:pPr>
    </w:p>
    <w:p w:rsidR="002E3C5E" w:rsidRDefault="002E3C5E" w:rsidP="002E3C5E">
      <w:pPr>
        <w:rPr>
          <w:b/>
          <w:bCs/>
        </w:rPr>
      </w:pPr>
    </w:p>
    <w:p w:rsidR="002E3C5E" w:rsidRDefault="002E3C5E" w:rsidP="002E3C5E">
      <w:pPr>
        <w:rPr>
          <w:b/>
          <w:bCs/>
        </w:rPr>
      </w:pPr>
    </w:p>
    <w:p w:rsidR="002E3C5E" w:rsidRDefault="002E3C5E" w:rsidP="002E3C5E">
      <w:pPr>
        <w:rPr>
          <w:b/>
          <w:bCs/>
        </w:rPr>
      </w:pPr>
    </w:p>
    <w:p w:rsidR="002E3C5E" w:rsidRDefault="002E3C5E" w:rsidP="002E3C5E">
      <w:pPr>
        <w:rPr>
          <w:b/>
          <w:bCs/>
        </w:rPr>
      </w:pPr>
    </w:p>
    <w:p w:rsidR="002E3C5E" w:rsidRDefault="002E3C5E" w:rsidP="002E3C5E">
      <w:pPr>
        <w:rPr>
          <w:b/>
          <w:bCs/>
        </w:rPr>
      </w:pPr>
    </w:p>
    <w:p w:rsidR="002E3C5E" w:rsidRDefault="002E3C5E" w:rsidP="002E3C5E">
      <w:pPr>
        <w:rPr>
          <w:b/>
          <w:bCs/>
        </w:rPr>
      </w:pPr>
    </w:p>
    <w:p w:rsidR="002E3C5E" w:rsidRDefault="002E3C5E" w:rsidP="002E3C5E">
      <w:pPr>
        <w:rPr>
          <w:b/>
          <w:bCs/>
        </w:rPr>
      </w:pPr>
    </w:p>
    <w:p w:rsidR="002E3C5E" w:rsidRDefault="002E3C5E" w:rsidP="002E3C5E">
      <w:pPr>
        <w:rPr>
          <w:b/>
          <w:bCs/>
        </w:rPr>
      </w:pPr>
    </w:p>
    <w:p w:rsidR="002E3C5E" w:rsidRDefault="002E3C5E" w:rsidP="002E3C5E">
      <w:pPr>
        <w:rPr>
          <w:b/>
          <w:bCs/>
        </w:rPr>
      </w:pPr>
    </w:p>
    <w:p w:rsidR="00B056C9" w:rsidRDefault="00B056C9" w:rsidP="002E3C5E">
      <w:pPr>
        <w:rPr>
          <w:b/>
          <w:bCs/>
        </w:rPr>
      </w:pPr>
    </w:p>
    <w:p w:rsidR="002E3C5E" w:rsidRPr="00B056C9" w:rsidRDefault="002E3C5E" w:rsidP="002E3C5E">
      <w:pPr>
        <w:rPr>
          <w:rFonts w:ascii="Arial" w:hAnsi="Arial" w:cs="Arial"/>
          <w:b/>
          <w:bCs/>
          <w:sz w:val="24"/>
          <w:szCs w:val="24"/>
        </w:rPr>
      </w:pPr>
      <w:r w:rsidRPr="00B056C9">
        <w:rPr>
          <w:rFonts w:ascii="Arial" w:hAnsi="Arial" w:cs="Arial"/>
          <w:b/>
          <w:bCs/>
          <w:sz w:val="24"/>
          <w:szCs w:val="24"/>
        </w:rPr>
        <w:lastRenderedPageBreak/>
        <w:t>Housing Growth Indicators (HGIs)</w:t>
      </w:r>
      <w:r w:rsidR="009E52AE" w:rsidRPr="00B056C9">
        <w:rPr>
          <w:rFonts w:ascii="Arial" w:hAnsi="Arial" w:cs="Arial"/>
          <w:b/>
          <w:bCs/>
          <w:sz w:val="24"/>
          <w:szCs w:val="24"/>
        </w:rPr>
        <w:t xml:space="preserve"> </w:t>
      </w:r>
    </w:p>
    <w:p w:rsidR="002E3C5E" w:rsidRPr="00B056C9" w:rsidRDefault="002E3C5E" w:rsidP="002E3C5E">
      <w:pPr>
        <w:rPr>
          <w:rFonts w:ascii="Arial" w:hAnsi="Arial" w:cs="Arial"/>
          <w:bCs/>
          <w:sz w:val="24"/>
          <w:szCs w:val="24"/>
        </w:rPr>
      </w:pPr>
      <w:r w:rsidRPr="00B056C9">
        <w:rPr>
          <w:rFonts w:ascii="Arial" w:hAnsi="Arial" w:cs="Arial"/>
          <w:bCs/>
          <w:sz w:val="24"/>
          <w:szCs w:val="24"/>
        </w:rPr>
        <w:t xml:space="preserve">The Mid Ulster Housing Allocation Paper published July 2015, used Housing Growth Indicators (HGIs) to provide an estimate of future housing need in Mid Ulster.  The figures use household projections produced by NISRA as their basis.  The figures are therefore based on current population/household formation trends making the assumption that these trends will continue into the future.  They should therefore be used for guidance rather than seen as a cap on housing development in the area or a target to be achieved. </w:t>
      </w:r>
    </w:p>
    <w:p w:rsidR="00EE6DF5" w:rsidRPr="00B056C9" w:rsidRDefault="002E3C5E" w:rsidP="00EE6DF5">
      <w:pPr>
        <w:rPr>
          <w:rFonts w:ascii="Arial" w:hAnsi="Arial" w:cs="Arial"/>
          <w:bCs/>
          <w:sz w:val="24"/>
          <w:szCs w:val="24"/>
        </w:rPr>
      </w:pPr>
      <w:r w:rsidRPr="00B056C9">
        <w:rPr>
          <w:rFonts w:ascii="Arial" w:hAnsi="Arial" w:cs="Arial"/>
          <w:bCs/>
          <w:sz w:val="24"/>
          <w:szCs w:val="24"/>
        </w:rPr>
        <w:t xml:space="preserve">The HGIs that were used to </w:t>
      </w:r>
      <w:r w:rsidR="00B056C9">
        <w:rPr>
          <w:rFonts w:ascii="Arial" w:hAnsi="Arial" w:cs="Arial"/>
          <w:bCs/>
          <w:sz w:val="24"/>
          <w:szCs w:val="24"/>
        </w:rPr>
        <w:t>inform</w:t>
      </w:r>
      <w:r w:rsidRPr="00B056C9">
        <w:rPr>
          <w:rFonts w:ascii="Arial" w:hAnsi="Arial" w:cs="Arial"/>
          <w:bCs/>
          <w:sz w:val="24"/>
          <w:szCs w:val="24"/>
        </w:rPr>
        <w:t xml:space="preserve"> the Mid Ulster Housing Allocation paper were contained within the Regional Development Strategy 2035 published in March 2012 and were based on 2008 data</w:t>
      </w:r>
      <w:r w:rsidR="00DB06A8" w:rsidRPr="00B056C9">
        <w:rPr>
          <w:rFonts w:ascii="Arial" w:hAnsi="Arial" w:cs="Arial"/>
          <w:bCs/>
          <w:sz w:val="24"/>
          <w:szCs w:val="24"/>
        </w:rPr>
        <w:t xml:space="preserve">. </w:t>
      </w:r>
      <w:r w:rsidR="00EE6DF5" w:rsidRPr="00B056C9">
        <w:rPr>
          <w:rFonts w:ascii="Arial" w:hAnsi="Arial" w:cs="Arial"/>
          <w:bCs/>
          <w:sz w:val="24"/>
          <w:szCs w:val="24"/>
        </w:rPr>
        <w:t>The HGI figures in the RDS 2035 are based over the period 2008-2025 and state that the housing need for each former LGD within the Mid Ulster District area were as follows;</w:t>
      </w:r>
    </w:p>
    <w:tbl>
      <w:tblPr>
        <w:tblStyle w:val="TableGrid"/>
        <w:tblW w:w="0" w:type="auto"/>
        <w:tblLook w:val="04A0" w:firstRow="1" w:lastRow="0" w:firstColumn="1" w:lastColumn="0" w:noHBand="0" w:noVBand="1"/>
        <w:tblCaption w:val="The HGI figures in the RDS 2035 are based over the period 2008-2025 and state the housing need for each former LGD within the Mid Ulster District area"/>
        <w:tblDescription w:val="Details of the HGI figures in the RDS 2035 are based over the period 2008-2025 and state what the housing need for each former LGD within the Mid Ulster District area was."/>
      </w:tblPr>
      <w:tblGrid>
        <w:gridCol w:w="4508"/>
        <w:gridCol w:w="4508"/>
      </w:tblGrid>
      <w:tr w:rsidR="00EE6DF5" w:rsidRPr="00B056C9" w:rsidTr="0032202A">
        <w:trPr>
          <w:cantSplit/>
          <w:tblHeader/>
        </w:trPr>
        <w:tc>
          <w:tcPr>
            <w:tcW w:w="4508" w:type="dxa"/>
          </w:tcPr>
          <w:p w:rsidR="00EE6DF5" w:rsidRPr="00B056C9" w:rsidRDefault="00EE6DF5" w:rsidP="00EE6DF5">
            <w:pPr>
              <w:rPr>
                <w:rFonts w:ascii="Arial" w:hAnsi="Arial" w:cs="Arial"/>
                <w:bCs/>
                <w:sz w:val="24"/>
                <w:szCs w:val="24"/>
              </w:rPr>
            </w:pPr>
            <w:r w:rsidRPr="00B056C9">
              <w:rPr>
                <w:rFonts w:ascii="Arial" w:hAnsi="Arial" w:cs="Arial"/>
                <w:b/>
                <w:bCs/>
                <w:sz w:val="24"/>
                <w:szCs w:val="24"/>
              </w:rPr>
              <w:t>FORMER LGD</w:t>
            </w:r>
          </w:p>
        </w:tc>
        <w:tc>
          <w:tcPr>
            <w:tcW w:w="4508" w:type="dxa"/>
          </w:tcPr>
          <w:p w:rsidR="00EE6DF5" w:rsidRPr="00B056C9" w:rsidRDefault="00EE6DF5" w:rsidP="00EE6DF5">
            <w:pPr>
              <w:rPr>
                <w:rFonts w:ascii="Arial" w:hAnsi="Arial" w:cs="Arial"/>
                <w:bCs/>
                <w:sz w:val="24"/>
                <w:szCs w:val="24"/>
              </w:rPr>
            </w:pPr>
            <w:r w:rsidRPr="00B056C9">
              <w:rPr>
                <w:rFonts w:ascii="Arial" w:hAnsi="Arial" w:cs="Arial"/>
                <w:b/>
                <w:bCs/>
                <w:sz w:val="24"/>
                <w:szCs w:val="24"/>
              </w:rPr>
              <w:t>HGI 2008-2025</w:t>
            </w:r>
          </w:p>
        </w:tc>
      </w:tr>
      <w:tr w:rsidR="00EE6DF5" w:rsidRPr="00B056C9" w:rsidTr="00EE6DF5">
        <w:tc>
          <w:tcPr>
            <w:tcW w:w="4508" w:type="dxa"/>
          </w:tcPr>
          <w:p w:rsidR="00EE6DF5" w:rsidRPr="00B056C9" w:rsidRDefault="00EE6DF5" w:rsidP="00EE6DF5">
            <w:pPr>
              <w:autoSpaceDE w:val="0"/>
              <w:autoSpaceDN w:val="0"/>
              <w:adjustRightInd w:val="0"/>
              <w:rPr>
                <w:rFonts w:ascii="Arial" w:hAnsi="Arial" w:cs="Arial"/>
                <w:sz w:val="24"/>
                <w:szCs w:val="24"/>
              </w:rPr>
            </w:pPr>
            <w:r w:rsidRPr="00B056C9">
              <w:rPr>
                <w:rFonts w:ascii="Arial" w:hAnsi="Arial" w:cs="Arial"/>
                <w:sz w:val="24"/>
                <w:szCs w:val="24"/>
              </w:rPr>
              <w:t xml:space="preserve">COOKSTOWN </w:t>
            </w:r>
          </w:p>
        </w:tc>
        <w:tc>
          <w:tcPr>
            <w:tcW w:w="4508" w:type="dxa"/>
          </w:tcPr>
          <w:p w:rsidR="00EE6DF5" w:rsidRPr="00B056C9" w:rsidRDefault="00EE6DF5" w:rsidP="00EE6DF5">
            <w:pPr>
              <w:rPr>
                <w:rFonts w:ascii="Arial" w:hAnsi="Arial" w:cs="Arial"/>
                <w:bCs/>
                <w:sz w:val="24"/>
                <w:szCs w:val="24"/>
              </w:rPr>
            </w:pPr>
            <w:r w:rsidRPr="00B056C9">
              <w:rPr>
                <w:rFonts w:ascii="Arial" w:hAnsi="Arial" w:cs="Arial"/>
                <w:sz w:val="24"/>
                <w:szCs w:val="24"/>
              </w:rPr>
              <w:t>3,700</w:t>
            </w:r>
          </w:p>
        </w:tc>
      </w:tr>
      <w:tr w:rsidR="00EE6DF5" w:rsidRPr="00B056C9" w:rsidTr="00EE6DF5">
        <w:tc>
          <w:tcPr>
            <w:tcW w:w="4508" w:type="dxa"/>
          </w:tcPr>
          <w:p w:rsidR="00EE6DF5" w:rsidRPr="00B056C9" w:rsidRDefault="00EE6DF5" w:rsidP="00EE6DF5">
            <w:pPr>
              <w:autoSpaceDE w:val="0"/>
              <w:autoSpaceDN w:val="0"/>
              <w:adjustRightInd w:val="0"/>
              <w:rPr>
                <w:rFonts w:ascii="Arial" w:hAnsi="Arial" w:cs="Arial"/>
                <w:sz w:val="24"/>
                <w:szCs w:val="24"/>
              </w:rPr>
            </w:pPr>
            <w:r w:rsidRPr="00B056C9">
              <w:rPr>
                <w:rFonts w:ascii="Arial" w:hAnsi="Arial" w:cs="Arial"/>
                <w:sz w:val="24"/>
                <w:szCs w:val="24"/>
              </w:rPr>
              <w:t xml:space="preserve">DUNGANNON </w:t>
            </w:r>
          </w:p>
        </w:tc>
        <w:tc>
          <w:tcPr>
            <w:tcW w:w="4508" w:type="dxa"/>
          </w:tcPr>
          <w:p w:rsidR="00EE6DF5" w:rsidRPr="00B056C9" w:rsidRDefault="00EE6DF5" w:rsidP="00EE6DF5">
            <w:pPr>
              <w:rPr>
                <w:rFonts w:ascii="Arial" w:hAnsi="Arial" w:cs="Arial"/>
                <w:bCs/>
                <w:sz w:val="24"/>
                <w:szCs w:val="24"/>
              </w:rPr>
            </w:pPr>
            <w:r w:rsidRPr="00B056C9">
              <w:rPr>
                <w:rFonts w:ascii="Arial" w:hAnsi="Arial" w:cs="Arial"/>
                <w:sz w:val="24"/>
                <w:szCs w:val="24"/>
              </w:rPr>
              <w:t>5,000</w:t>
            </w:r>
          </w:p>
        </w:tc>
      </w:tr>
      <w:tr w:rsidR="00EE6DF5" w:rsidRPr="00B056C9" w:rsidTr="00EE6DF5">
        <w:tc>
          <w:tcPr>
            <w:tcW w:w="4508" w:type="dxa"/>
          </w:tcPr>
          <w:p w:rsidR="00EE6DF5" w:rsidRPr="00B056C9" w:rsidRDefault="00EE6DF5" w:rsidP="00EE6DF5">
            <w:pPr>
              <w:rPr>
                <w:rFonts w:ascii="Arial" w:hAnsi="Arial" w:cs="Arial"/>
                <w:bCs/>
                <w:sz w:val="24"/>
                <w:szCs w:val="24"/>
              </w:rPr>
            </w:pPr>
            <w:r w:rsidRPr="00B056C9">
              <w:rPr>
                <w:rFonts w:ascii="Arial" w:hAnsi="Arial" w:cs="Arial"/>
                <w:sz w:val="24"/>
                <w:szCs w:val="24"/>
              </w:rPr>
              <w:t>MAGHERAFELT</w:t>
            </w:r>
          </w:p>
        </w:tc>
        <w:tc>
          <w:tcPr>
            <w:tcW w:w="4508" w:type="dxa"/>
          </w:tcPr>
          <w:p w:rsidR="00EE6DF5" w:rsidRPr="00B056C9" w:rsidRDefault="00EE6DF5" w:rsidP="00EE6DF5">
            <w:pPr>
              <w:rPr>
                <w:rFonts w:ascii="Arial" w:hAnsi="Arial" w:cs="Arial"/>
                <w:bCs/>
                <w:sz w:val="24"/>
                <w:szCs w:val="24"/>
              </w:rPr>
            </w:pPr>
            <w:r w:rsidRPr="00B056C9">
              <w:rPr>
                <w:rFonts w:ascii="Arial" w:hAnsi="Arial" w:cs="Arial"/>
                <w:sz w:val="24"/>
                <w:szCs w:val="24"/>
              </w:rPr>
              <w:t>4,600</w:t>
            </w:r>
          </w:p>
        </w:tc>
      </w:tr>
      <w:tr w:rsidR="00EE6DF5" w:rsidRPr="00B056C9" w:rsidTr="00EE6DF5">
        <w:tc>
          <w:tcPr>
            <w:tcW w:w="4508" w:type="dxa"/>
          </w:tcPr>
          <w:p w:rsidR="00EE6DF5" w:rsidRPr="00B056C9" w:rsidRDefault="00EE6DF5" w:rsidP="000A4F8A">
            <w:pPr>
              <w:rPr>
                <w:rFonts w:ascii="Arial" w:hAnsi="Arial" w:cs="Arial"/>
                <w:b/>
                <w:bCs/>
                <w:sz w:val="24"/>
                <w:szCs w:val="24"/>
              </w:rPr>
            </w:pPr>
            <w:r w:rsidRPr="00B056C9">
              <w:rPr>
                <w:rFonts w:ascii="Arial" w:hAnsi="Arial" w:cs="Arial"/>
                <w:b/>
                <w:sz w:val="24"/>
                <w:szCs w:val="24"/>
              </w:rPr>
              <w:t>TOTAL</w:t>
            </w:r>
          </w:p>
        </w:tc>
        <w:tc>
          <w:tcPr>
            <w:tcW w:w="4508" w:type="dxa"/>
          </w:tcPr>
          <w:p w:rsidR="00EE6DF5" w:rsidRPr="00B056C9" w:rsidRDefault="00EE6DF5" w:rsidP="000A4F8A">
            <w:pPr>
              <w:rPr>
                <w:rFonts w:ascii="Arial" w:hAnsi="Arial" w:cs="Arial"/>
                <w:bCs/>
                <w:sz w:val="24"/>
                <w:szCs w:val="24"/>
              </w:rPr>
            </w:pPr>
            <w:r w:rsidRPr="00B056C9">
              <w:rPr>
                <w:rFonts w:ascii="Arial" w:hAnsi="Arial" w:cs="Arial"/>
                <w:b/>
                <w:bCs/>
                <w:sz w:val="24"/>
                <w:szCs w:val="24"/>
              </w:rPr>
              <w:t>13,300</w:t>
            </w:r>
          </w:p>
        </w:tc>
      </w:tr>
    </w:tbl>
    <w:p w:rsidR="00DF4D88" w:rsidRPr="00B056C9" w:rsidRDefault="00DF4D88" w:rsidP="00DB06A8">
      <w:pPr>
        <w:pStyle w:val="NoSpacing"/>
        <w:rPr>
          <w:rFonts w:ascii="Arial" w:hAnsi="Arial" w:cs="Arial"/>
          <w:sz w:val="24"/>
          <w:szCs w:val="24"/>
        </w:rPr>
      </w:pPr>
    </w:p>
    <w:p w:rsidR="00EE6DF5" w:rsidRPr="00B056C9" w:rsidRDefault="00EE6DF5" w:rsidP="002E3C5E">
      <w:pPr>
        <w:rPr>
          <w:rFonts w:ascii="Arial" w:hAnsi="Arial" w:cs="Arial"/>
          <w:bCs/>
          <w:sz w:val="24"/>
          <w:szCs w:val="24"/>
        </w:rPr>
      </w:pPr>
      <w:r w:rsidRPr="00B056C9">
        <w:rPr>
          <w:rFonts w:ascii="Arial" w:hAnsi="Arial" w:cs="Arial"/>
          <w:bCs/>
          <w:sz w:val="24"/>
          <w:szCs w:val="24"/>
        </w:rPr>
        <w:t>The above total was then extrapolated out over the plan period to give a figure for the total housing requirement for Mid Ulster from 2008-2030.</w:t>
      </w:r>
      <w:r w:rsidR="00DF4D88" w:rsidRPr="00B056C9">
        <w:rPr>
          <w:rFonts w:ascii="Arial" w:hAnsi="Arial" w:cs="Arial"/>
          <w:bCs/>
          <w:sz w:val="24"/>
          <w:szCs w:val="24"/>
        </w:rPr>
        <w:t xml:space="preserve"> This revealed a total housing allocation over this period of </w:t>
      </w:r>
      <w:r w:rsidR="00DF4D88" w:rsidRPr="00B056C9">
        <w:rPr>
          <w:rFonts w:ascii="Arial" w:hAnsi="Arial" w:cs="Arial"/>
          <w:b/>
          <w:bCs/>
          <w:sz w:val="24"/>
          <w:szCs w:val="24"/>
        </w:rPr>
        <w:t>17,020</w:t>
      </w:r>
      <w:r w:rsidR="009E52AE" w:rsidRPr="00B056C9">
        <w:rPr>
          <w:rFonts w:ascii="Arial" w:hAnsi="Arial" w:cs="Arial"/>
          <w:b/>
          <w:bCs/>
          <w:sz w:val="24"/>
          <w:szCs w:val="24"/>
        </w:rPr>
        <w:t xml:space="preserve"> (2008-2030)</w:t>
      </w:r>
      <w:r w:rsidR="00DF4D88" w:rsidRPr="00B056C9">
        <w:rPr>
          <w:rFonts w:ascii="Arial" w:hAnsi="Arial" w:cs="Arial"/>
          <w:b/>
          <w:bCs/>
          <w:sz w:val="24"/>
          <w:szCs w:val="24"/>
        </w:rPr>
        <w:t>.</w:t>
      </w:r>
      <w:r w:rsidRPr="00B056C9">
        <w:rPr>
          <w:rFonts w:ascii="Arial" w:hAnsi="Arial" w:cs="Arial"/>
          <w:bCs/>
          <w:sz w:val="24"/>
          <w:szCs w:val="24"/>
        </w:rPr>
        <w:t xml:space="preserve"> This method is laid out below:</w:t>
      </w:r>
    </w:p>
    <w:tbl>
      <w:tblPr>
        <w:tblStyle w:val="TableGrid"/>
        <w:tblW w:w="9016" w:type="dxa"/>
        <w:tblLook w:val="04A0" w:firstRow="1" w:lastRow="0" w:firstColumn="1" w:lastColumn="0" w:noHBand="0" w:noVBand="1"/>
        <w:tblCaption w:val="Total housing allocation over the period (2008-2030)"/>
        <w:tblDescription w:val="Details of total housing allocation over the period (2008-2030)."/>
      </w:tblPr>
      <w:tblGrid>
        <w:gridCol w:w="2254"/>
        <w:gridCol w:w="2254"/>
        <w:gridCol w:w="2254"/>
        <w:gridCol w:w="2254"/>
      </w:tblGrid>
      <w:tr w:rsidR="00EE6DF5" w:rsidRPr="00B056C9" w:rsidTr="0032202A">
        <w:trPr>
          <w:cantSplit/>
          <w:tblHeader/>
        </w:trPr>
        <w:tc>
          <w:tcPr>
            <w:tcW w:w="2254" w:type="dxa"/>
          </w:tcPr>
          <w:p w:rsidR="00EE6DF5" w:rsidRPr="00B056C9" w:rsidRDefault="00EE6DF5" w:rsidP="00EE6DF5">
            <w:pPr>
              <w:rPr>
                <w:rFonts w:ascii="Arial" w:hAnsi="Arial" w:cs="Arial"/>
                <w:bCs/>
                <w:sz w:val="24"/>
                <w:szCs w:val="24"/>
              </w:rPr>
            </w:pPr>
            <w:r w:rsidRPr="00B056C9">
              <w:rPr>
                <w:rFonts w:ascii="Arial" w:hAnsi="Arial" w:cs="Arial"/>
                <w:b/>
                <w:bCs/>
                <w:sz w:val="24"/>
                <w:szCs w:val="24"/>
              </w:rPr>
              <w:t>FORMER LGD</w:t>
            </w:r>
          </w:p>
        </w:tc>
        <w:tc>
          <w:tcPr>
            <w:tcW w:w="2254" w:type="dxa"/>
          </w:tcPr>
          <w:p w:rsidR="00EE6DF5" w:rsidRPr="00B056C9" w:rsidRDefault="00EE6DF5" w:rsidP="00EE6DF5">
            <w:pPr>
              <w:rPr>
                <w:rFonts w:ascii="Arial" w:hAnsi="Arial" w:cs="Arial"/>
                <w:bCs/>
                <w:sz w:val="24"/>
                <w:szCs w:val="24"/>
              </w:rPr>
            </w:pPr>
            <w:r w:rsidRPr="00B056C9">
              <w:rPr>
                <w:rFonts w:ascii="Arial" w:hAnsi="Arial" w:cs="Arial"/>
                <w:b/>
                <w:bCs/>
                <w:sz w:val="24"/>
                <w:szCs w:val="24"/>
              </w:rPr>
              <w:t>HGI 2008-2025</w:t>
            </w:r>
            <w:r w:rsidR="007D7CFA" w:rsidRPr="00B056C9">
              <w:rPr>
                <w:rFonts w:ascii="Arial" w:hAnsi="Arial" w:cs="Arial"/>
                <w:b/>
                <w:bCs/>
                <w:sz w:val="24"/>
                <w:szCs w:val="24"/>
              </w:rPr>
              <w:t xml:space="preserve"> </w:t>
            </w:r>
          </w:p>
        </w:tc>
        <w:tc>
          <w:tcPr>
            <w:tcW w:w="2254" w:type="dxa"/>
          </w:tcPr>
          <w:p w:rsidR="00EE6DF5" w:rsidRPr="00B056C9" w:rsidRDefault="00EE6DF5" w:rsidP="00EE6DF5">
            <w:pPr>
              <w:rPr>
                <w:rFonts w:ascii="Arial" w:hAnsi="Arial" w:cs="Arial"/>
                <w:b/>
                <w:bCs/>
                <w:sz w:val="24"/>
                <w:szCs w:val="24"/>
              </w:rPr>
            </w:pPr>
            <w:r w:rsidRPr="00B056C9">
              <w:rPr>
                <w:rFonts w:ascii="Arial" w:hAnsi="Arial" w:cs="Arial"/>
                <w:b/>
                <w:bCs/>
                <w:sz w:val="24"/>
                <w:szCs w:val="24"/>
              </w:rPr>
              <w:t xml:space="preserve">PER YEAR / PRO RATA </w:t>
            </w:r>
          </w:p>
        </w:tc>
        <w:tc>
          <w:tcPr>
            <w:tcW w:w="2254" w:type="dxa"/>
          </w:tcPr>
          <w:p w:rsidR="00EE6DF5" w:rsidRPr="00B056C9" w:rsidRDefault="003F61CD" w:rsidP="00EE6DF5">
            <w:pPr>
              <w:rPr>
                <w:rFonts w:ascii="Arial" w:hAnsi="Arial" w:cs="Arial"/>
                <w:b/>
                <w:bCs/>
                <w:sz w:val="24"/>
                <w:szCs w:val="24"/>
              </w:rPr>
            </w:pPr>
            <w:r w:rsidRPr="00B056C9">
              <w:rPr>
                <w:rFonts w:ascii="Arial" w:hAnsi="Arial" w:cs="Arial"/>
                <w:b/>
                <w:bCs/>
                <w:sz w:val="24"/>
                <w:szCs w:val="24"/>
              </w:rPr>
              <w:t>2008-2030 FIGURE</w:t>
            </w:r>
          </w:p>
        </w:tc>
      </w:tr>
      <w:tr w:rsidR="007D7CFA" w:rsidRPr="00B056C9" w:rsidTr="00EE6DF5">
        <w:tc>
          <w:tcPr>
            <w:tcW w:w="2254" w:type="dxa"/>
          </w:tcPr>
          <w:p w:rsidR="007D7CFA" w:rsidRPr="00B056C9" w:rsidRDefault="007D7CFA" w:rsidP="00EE6DF5">
            <w:pPr>
              <w:rPr>
                <w:rFonts w:ascii="Arial" w:hAnsi="Arial" w:cs="Arial"/>
                <w:b/>
                <w:bCs/>
                <w:sz w:val="24"/>
                <w:szCs w:val="24"/>
              </w:rPr>
            </w:pPr>
          </w:p>
        </w:tc>
        <w:tc>
          <w:tcPr>
            <w:tcW w:w="2254" w:type="dxa"/>
          </w:tcPr>
          <w:p w:rsidR="007D7CFA" w:rsidRPr="00B056C9" w:rsidRDefault="007D7CFA" w:rsidP="00EE6DF5">
            <w:pPr>
              <w:rPr>
                <w:rFonts w:ascii="Arial" w:hAnsi="Arial" w:cs="Arial"/>
                <w:b/>
                <w:bCs/>
                <w:sz w:val="24"/>
                <w:szCs w:val="24"/>
              </w:rPr>
            </w:pPr>
            <w:r w:rsidRPr="00B056C9">
              <w:rPr>
                <w:rFonts w:ascii="Arial" w:hAnsi="Arial" w:cs="Arial"/>
                <w:b/>
                <w:bCs/>
                <w:sz w:val="24"/>
                <w:szCs w:val="24"/>
              </w:rPr>
              <w:t>18 years</w:t>
            </w:r>
          </w:p>
        </w:tc>
        <w:tc>
          <w:tcPr>
            <w:tcW w:w="2254" w:type="dxa"/>
          </w:tcPr>
          <w:p w:rsidR="007D7CFA" w:rsidRPr="00B056C9" w:rsidRDefault="007D7CFA" w:rsidP="00EE6DF5">
            <w:pPr>
              <w:rPr>
                <w:rFonts w:ascii="Arial" w:hAnsi="Arial" w:cs="Arial"/>
                <w:b/>
                <w:bCs/>
                <w:sz w:val="24"/>
                <w:szCs w:val="24"/>
              </w:rPr>
            </w:pPr>
          </w:p>
        </w:tc>
        <w:tc>
          <w:tcPr>
            <w:tcW w:w="2254" w:type="dxa"/>
          </w:tcPr>
          <w:p w:rsidR="007D7CFA" w:rsidRPr="00B056C9" w:rsidRDefault="007D7CFA" w:rsidP="00EE6DF5">
            <w:pPr>
              <w:rPr>
                <w:rFonts w:ascii="Arial" w:hAnsi="Arial" w:cs="Arial"/>
                <w:b/>
                <w:bCs/>
                <w:sz w:val="24"/>
                <w:szCs w:val="24"/>
              </w:rPr>
            </w:pPr>
            <w:r w:rsidRPr="00B056C9">
              <w:rPr>
                <w:rFonts w:ascii="Arial" w:hAnsi="Arial" w:cs="Arial"/>
                <w:b/>
                <w:bCs/>
                <w:sz w:val="24"/>
                <w:szCs w:val="24"/>
              </w:rPr>
              <w:t>23 Years</w:t>
            </w:r>
          </w:p>
        </w:tc>
      </w:tr>
      <w:tr w:rsidR="00EE6DF5" w:rsidRPr="00B056C9" w:rsidTr="00EE6DF5">
        <w:tc>
          <w:tcPr>
            <w:tcW w:w="2254" w:type="dxa"/>
          </w:tcPr>
          <w:p w:rsidR="00EE6DF5" w:rsidRPr="00B056C9" w:rsidRDefault="00EE6DF5" w:rsidP="00EE6DF5">
            <w:pPr>
              <w:autoSpaceDE w:val="0"/>
              <w:autoSpaceDN w:val="0"/>
              <w:adjustRightInd w:val="0"/>
              <w:rPr>
                <w:rFonts w:ascii="Arial" w:hAnsi="Arial" w:cs="Arial"/>
                <w:sz w:val="24"/>
                <w:szCs w:val="24"/>
              </w:rPr>
            </w:pPr>
            <w:r w:rsidRPr="00B056C9">
              <w:rPr>
                <w:rFonts w:ascii="Arial" w:hAnsi="Arial" w:cs="Arial"/>
                <w:sz w:val="24"/>
                <w:szCs w:val="24"/>
              </w:rPr>
              <w:t xml:space="preserve">COOKSTOWN </w:t>
            </w:r>
          </w:p>
        </w:tc>
        <w:tc>
          <w:tcPr>
            <w:tcW w:w="2254" w:type="dxa"/>
          </w:tcPr>
          <w:p w:rsidR="00EE6DF5" w:rsidRPr="00B056C9" w:rsidRDefault="00EE6DF5" w:rsidP="00EE6DF5">
            <w:pPr>
              <w:rPr>
                <w:rFonts w:ascii="Arial" w:hAnsi="Arial" w:cs="Arial"/>
                <w:bCs/>
                <w:sz w:val="24"/>
                <w:szCs w:val="24"/>
              </w:rPr>
            </w:pPr>
            <w:r w:rsidRPr="00B056C9">
              <w:rPr>
                <w:rFonts w:ascii="Arial" w:hAnsi="Arial" w:cs="Arial"/>
                <w:sz w:val="24"/>
                <w:szCs w:val="24"/>
              </w:rPr>
              <w:t>3,700</w:t>
            </w:r>
          </w:p>
        </w:tc>
        <w:tc>
          <w:tcPr>
            <w:tcW w:w="2254" w:type="dxa"/>
          </w:tcPr>
          <w:p w:rsidR="00EE6DF5" w:rsidRPr="00B056C9" w:rsidRDefault="003F61CD" w:rsidP="00EE6DF5">
            <w:pPr>
              <w:rPr>
                <w:rFonts w:ascii="Arial" w:hAnsi="Arial" w:cs="Arial"/>
                <w:bCs/>
                <w:sz w:val="24"/>
                <w:szCs w:val="24"/>
              </w:rPr>
            </w:pPr>
            <w:r w:rsidRPr="00B056C9">
              <w:rPr>
                <w:rFonts w:ascii="Arial" w:hAnsi="Arial" w:cs="Arial"/>
                <w:bCs/>
                <w:sz w:val="24"/>
                <w:szCs w:val="24"/>
              </w:rPr>
              <w:t>206</w:t>
            </w:r>
          </w:p>
        </w:tc>
        <w:tc>
          <w:tcPr>
            <w:tcW w:w="2254" w:type="dxa"/>
          </w:tcPr>
          <w:p w:rsidR="00EE6DF5" w:rsidRPr="00B056C9" w:rsidRDefault="00DF4D88" w:rsidP="00EE6DF5">
            <w:pPr>
              <w:rPr>
                <w:rFonts w:ascii="Arial" w:hAnsi="Arial" w:cs="Arial"/>
                <w:bCs/>
                <w:sz w:val="24"/>
                <w:szCs w:val="24"/>
              </w:rPr>
            </w:pPr>
            <w:r w:rsidRPr="00B056C9">
              <w:rPr>
                <w:rFonts w:ascii="Arial" w:hAnsi="Arial" w:cs="Arial"/>
                <w:bCs/>
                <w:sz w:val="24"/>
                <w:szCs w:val="24"/>
              </w:rPr>
              <w:t>4,738</w:t>
            </w:r>
          </w:p>
        </w:tc>
      </w:tr>
      <w:tr w:rsidR="00EE6DF5" w:rsidRPr="00B056C9" w:rsidTr="00EE6DF5">
        <w:tc>
          <w:tcPr>
            <w:tcW w:w="2254" w:type="dxa"/>
          </w:tcPr>
          <w:p w:rsidR="00EE6DF5" w:rsidRPr="00B056C9" w:rsidRDefault="00EE6DF5" w:rsidP="00EE6DF5">
            <w:pPr>
              <w:autoSpaceDE w:val="0"/>
              <w:autoSpaceDN w:val="0"/>
              <w:adjustRightInd w:val="0"/>
              <w:rPr>
                <w:rFonts w:ascii="Arial" w:hAnsi="Arial" w:cs="Arial"/>
                <w:sz w:val="24"/>
                <w:szCs w:val="24"/>
              </w:rPr>
            </w:pPr>
            <w:r w:rsidRPr="00B056C9">
              <w:rPr>
                <w:rFonts w:ascii="Arial" w:hAnsi="Arial" w:cs="Arial"/>
                <w:sz w:val="24"/>
                <w:szCs w:val="24"/>
              </w:rPr>
              <w:t xml:space="preserve">DUNGANNON </w:t>
            </w:r>
          </w:p>
        </w:tc>
        <w:tc>
          <w:tcPr>
            <w:tcW w:w="2254" w:type="dxa"/>
          </w:tcPr>
          <w:p w:rsidR="00EE6DF5" w:rsidRPr="00B056C9" w:rsidRDefault="00EE6DF5" w:rsidP="00EE6DF5">
            <w:pPr>
              <w:rPr>
                <w:rFonts w:ascii="Arial" w:hAnsi="Arial" w:cs="Arial"/>
                <w:bCs/>
                <w:sz w:val="24"/>
                <w:szCs w:val="24"/>
              </w:rPr>
            </w:pPr>
            <w:r w:rsidRPr="00B056C9">
              <w:rPr>
                <w:rFonts w:ascii="Arial" w:hAnsi="Arial" w:cs="Arial"/>
                <w:sz w:val="24"/>
                <w:szCs w:val="24"/>
              </w:rPr>
              <w:t>5,000</w:t>
            </w:r>
          </w:p>
        </w:tc>
        <w:tc>
          <w:tcPr>
            <w:tcW w:w="2254" w:type="dxa"/>
          </w:tcPr>
          <w:p w:rsidR="00EE6DF5" w:rsidRPr="00B056C9" w:rsidRDefault="00DF4D88" w:rsidP="00EE6DF5">
            <w:pPr>
              <w:rPr>
                <w:rFonts w:ascii="Arial" w:hAnsi="Arial" w:cs="Arial"/>
                <w:bCs/>
                <w:sz w:val="24"/>
                <w:szCs w:val="24"/>
              </w:rPr>
            </w:pPr>
            <w:r w:rsidRPr="00B056C9">
              <w:rPr>
                <w:rFonts w:ascii="Arial" w:hAnsi="Arial" w:cs="Arial"/>
                <w:bCs/>
                <w:sz w:val="24"/>
                <w:szCs w:val="24"/>
              </w:rPr>
              <w:t>278</w:t>
            </w:r>
          </w:p>
        </w:tc>
        <w:tc>
          <w:tcPr>
            <w:tcW w:w="2254" w:type="dxa"/>
          </w:tcPr>
          <w:p w:rsidR="00EE6DF5" w:rsidRPr="00B056C9" w:rsidRDefault="00DF4D88" w:rsidP="00EE6DF5">
            <w:pPr>
              <w:rPr>
                <w:rFonts w:ascii="Arial" w:hAnsi="Arial" w:cs="Arial"/>
                <w:bCs/>
                <w:sz w:val="24"/>
                <w:szCs w:val="24"/>
              </w:rPr>
            </w:pPr>
            <w:r w:rsidRPr="00B056C9">
              <w:rPr>
                <w:rFonts w:ascii="Arial" w:hAnsi="Arial" w:cs="Arial"/>
                <w:bCs/>
                <w:sz w:val="24"/>
                <w:szCs w:val="24"/>
              </w:rPr>
              <w:t>6,394</w:t>
            </w:r>
          </w:p>
        </w:tc>
      </w:tr>
      <w:tr w:rsidR="00EE6DF5" w:rsidRPr="00B056C9" w:rsidTr="00EE6DF5">
        <w:tc>
          <w:tcPr>
            <w:tcW w:w="2254" w:type="dxa"/>
          </w:tcPr>
          <w:p w:rsidR="00EE6DF5" w:rsidRPr="00B056C9" w:rsidRDefault="00EE6DF5" w:rsidP="00EE6DF5">
            <w:pPr>
              <w:rPr>
                <w:rFonts w:ascii="Arial" w:hAnsi="Arial" w:cs="Arial"/>
                <w:bCs/>
                <w:sz w:val="24"/>
                <w:szCs w:val="24"/>
              </w:rPr>
            </w:pPr>
            <w:r w:rsidRPr="00B056C9">
              <w:rPr>
                <w:rFonts w:ascii="Arial" w:hAnsi="Arial" w:cs="Arial"/>
                <w:sz w:val="24"/>
                <w:szCs w:val="24"/>
              </w:rPr>
              <w:t>MAGHERAFELT</w:t>
            </w:r>
          </w:p>
        </w:tc>
        <w:tc>
          <w:tcPr>
            <w:tcW w:w="2254" w:type="dxa"/>
          </w:tcPr>
          <w:p w:rsidR="00EE6DF5" w:rsidRPr="00B056C9" w:rsidRDefault="00EE6DF5" w:rsidP="00EE6DF5">
            <w:pPr>
              <w:rPr>
                <w:rFonts w:ascii="Arial" w:hAnsi="Arial" w:cs="Arial"/>
                <w:bCs/>
                <w:sz w:val="24"/>
                <w:szCs w:val="24"/>
              </w:rPr>
            </w:pPr>
            <w:r w:rsidRPr="00B056C9">
              <w:rPr>
                <w:rFonts w:ascii="Arial" w:hAnsi="Arial" w:cs="Arial"/>
                <w:sz w:val="24"/>
                <w:szCs w:val="24"/>
              </w:rPr>
              <w:t>4,600</w:t>
            </w:r>
          </w:p>
        </w:tc>
        <w:tc>
          <w:tcPr>
            <w:tcW w:w="2254" w:type="dxa"/>
          </w:tcPr>
          <w:p w:rsidR="00EE6DF5" w:rsidRPr="00B056C9" w:rsidRDefault="00DF4D88" w:rsidP="00EE6DF5">
            <w:pPr>
              <w:rPr>
                <w:rFonts w:ascii="Arial" w:hAnsi="Arial" w:cs="Arial"/>
                <w:bCs/>
                <w:sz w:val="24"/>
                <w:szCs w:val="24"/>
              </w:rPr>
            </w:pPr>
            <w:r w:rsidRPr="00B056C9">
              <w:rPr>
                <w:rFonts w:ascii="Arial" w:hAnsi="Arial" w:cs="Arial"/>
                <w:bCs/>
                <w:sz w:val="24"/>
                <w:szCs w:val="24"/>
              </w:rPr>
              <w:t>256</w:t>
            </w:r>
          </w:p>
        </w:tc>
        <w:tc>
          <w:tcPr>
            <w:tcW w:w="2254" w:type="dxa"/>
          </w:tcPr>
          <w:p w:rsidR="00EE6DF5" w:rsidRPr="00B056C9" w:rsidRDefault="00DF4D88" w:rsidP="00EE6DF5">
            <w:pPr>
              <w:rPr>
                <w:rFonts w:ascii="Arial" w:hAnsi="Arial" w:cs="Arial"/>
                <w:bCs/>
                <w:sz w:val="24"/>
                <w:szCs w:val="24"/>
              </w:rPr>
            </w:pPr>
            <w:r w:rsidRPr="00B056C9">
              <w:rPr>
                <w:rFonts w:ascii="Arial" w:hAnsi="Arial" w:cs="Arial"/>
                <w:bCs/>
                <w:sz w:val="24"/>
                <w:szCs w:val="24"/>
              </w:rPr>
              <w:t>5,888</w:t>
            </w:r>
          </w:p>
        </w:tc>
      </w:tr>
      <w:tr w:rsidR="00EE6DF5" w:rsidRPr="00B056C9" w:rsidTr="00EE6DF5">
        <w:tc>
          <w:tcPr>
            <w:tcW w:w="2254" w:type="dxa"/>
          </w:tcPr>
          <w:p w:rsidR="00EE6DF5" w:rsidRPr="00B056C9" w:rsidRDefault="00EE6DF5" w:rsidP="00EE6DF5">
            <w:pPr>
              <w:rPr>
                <w:rFonts w:ascii="Arial" w:hAnsi="Arial" w:cs="Arial"/>
                <w:b/>
                <w:bCs/>
                <w:sz w:val="24"/>
                <w:szCs w:val="24"/>
              </w:rPr>
            </w:pPr>
            <w:r w:rsidRPr="00B056C9">
              <w:rPr>
                <w:rFonts w:ascii="Arial" w:hAnsi="Arial" w:cs="Arial"/>
                <w:b/>
                <w:sz w:val="24"/>
                <w:szCs w:val="24"/>
              </w:rPr>
              <w:t>TOTAL</w:t>
            </w:r>
          </w:p>
        </w:tc>
        <w:tc>
          <w:tcPr>
            <w:tcW w:w="2254" w:type="dxa"/>
          </w:tcPr>
          <w:p w:rsidR="00EE6DF5" w:rsidRPr="00B056C9" w:rsidRDefault="00EE6DF5" w:rsidP="00EE6DF5">
            <w:pPr>
              <w:rPr>
                <w:rFonts w:ascii="Arial" w:hAnsi="Arial" w:cs="Arial"/>
                <w:bCs/>
                <w:sz w:val="24"/>
                <w:szCs w:val="24"/>
              </w:rPr>
            </w:pPr>
            <w:r w:rsidRPr="00B056C9">
              <w:rPr>
                <w:rFonts w:ascii="Arial" w:hAnsi="Arial" w:cs="Arial"/>
                <w:b/>
                <w:bCs/>
                <w:sz w:val="24"/>
                <w:szCs w:val="24"/>
              </w:rPr>
              <w:t>13,300</w:t>
            </w:r>
          </w:p>
        </w:tc>
        <w:tc>
          <w:tcPr>
            <w:tcW w:w="2254" w:type="dxa"/>
          </w:tcPr>
          <w:p w:rsidR="00EE6DF5" w:rsidRPr="00B056C9" w:rsidRDefault="00DF4D88" w:rsidP="00EE6DF5">
            <w:pPr>
              <w:rPr>
                <w:rFonts w:ascii="Arial" w:hAnsi="Arial" w:cs="Arial"/>
                <w:b/>
                <w:bCs/>
                <w:sz w:val="24"/>
                <w:szCs w:val="24"/>
              </w:rPr>
            </w:pPr>
            <w:r w:rsidRPr="00B056C9">
              <w:rPr>
                <w:rFonts w:ascii="Arial" w:hAnsi="Arial" w:cs="Arial"/>
                <w:b/>
                <w:bCs/>
                <w:sz w:val="24"/>
                <w:szCs w:val="24"/>
              </w:rPr>
              <w:t>740</w:t>
            </w:r>
          </w:p>
        </w:tc>
        <w:tc>
          <w:tcPr>
            <w:tcW w:w="2254" w:type="dxa"/>
          </w:tcPr>
          <w:p w:rsidR="00EE6DF5" w:rsidRPr="00B056C9" w:rsidRDefault="00DF4D88" w:rsidP="00EE6DF5">
            <w:pPr>
              <w:rPr>
                <w:rFonts w:ascii="Arial" w:hAnsi="Arial" w:cs="Arial"/>
                <w:b/>
                <w:bCs/>
                <w:sz w:val="24"/>
                <w:szCs w:val="24"/>
              </w:rPr>
            </w:pPr>
            <w:r w:rsidRPr="00B056C9">
              <w:rPr>
                <w:rFonts w:ascii="Arial" w:hAnsi="Arial" w:cs="Arial"/>
                <w:b/>
                <w:bCs/>
                <w:sz w:val="24"/>
                <w:szCs w:val="24"/>
              </w:rPr>
              <w:t>17,020</w:t>
            </w:r>
          </w:p>
        </w:tc>
      </w:tr>
    </w:tbl>
    <w:p w:rsidR="008307E2" w:rsidRPr="00B056C9" w:rsidRDefault="008307E2" w:rsidP="00DB06A8">
      <w:pPr>
        <w:pStyle w:val="NoSpacing"/>
        <w:rPr>
          <w:rFonts w:ascii="Arial" w:hAnsi="Arial" w:cs="Arial"/>
          <w:sz w:val="24"/>
          <w:szCs w:val="24"/>
        </w:rPr>
      </w:pPr>
    </w:p>
    <w:p w:rsidR="00DB06A8" w:rsidRPr="00B056C9" w:rsidRDefault="00DB06A8" w:rsidP="002E3C5E">
      <w:pPr>
        <w:rPr>
          <w:rFonts w:ascii="Arial" w:hAnsi="Arial" w:cs="Arial"/>
          <w:bCs/>
          <w:sz w:val="24"/>
          <w:szCs w:val="24"/>
        </w:rPr>
      </w:pPr>
      <w:r w:rsidRPr="00B056C9">
        <w:rPr>
          <w:rFonts w:ascii="Arial" w:hAnsi="Arial" w:cs="Arial"/>
          <w:bCs/>
          <w:sz w:val="24"/>
          <w:szCs w:val="24"/>
        </w:rPr>
        <w:t xml:space="preserve">The Housing Allocation paper for Mid-Ulster July 2015 took the period 2008 – 2025 as 18 years. Upon further examination of this data the total allocation should have been dived by 17 years, in line with the RDS 2035. The revised calculation provides an allocation of </w:t>
      </w:r>
      <w:r w:rsidR="00AA446E" w:rsidRPr="00B056C9">
        <w:rPr>
          <w:rFonts w:ascii="Arial" w:hAnsi="Arial" w:cs="Arial"/>
          <w:bCs/>
          <w:sz w:val="24"/>
          <w:szCs w:val="24"/>
        </w:rPr>
        <w:t xml:space="preserve">approximately </w:t>
      </w:r>
      <w:r w:rsidR="00AA446E" w:rsidRPr="00B056C9">
        <w:rPr>
          <w:rFonts w:ascii="Arial" w:hAnsi="Arial" w:cs="Arial"/>
          <w:b/>
          <w:bCs/>
          <w:sz w:val="24"/>
          <w:szCs w:val="24"/>
        </w:rPr>
        <w:t>780</w:t>
      </w:r>
      <w:r w:rsidRPr="00B056C9">
        <w:rPr>
          <w:rFonts w:ascii="Arial" w:hAnsi="Arial" w:cs="Arial"/>
          <w:bCs/>
          <w:sz w:val="24"/>
          <w:szCs w:val="24"/>
        </w:rPr>
        <w:t xml:space="preserve"> units per year. Resulting in a total allocation over the period 2008-2030 of </w:t>
      </w:r>
      <w:r w:rsidRPr="00B056C9">
        <w:rPr>
          <w:rFonts w:ascii="Arial" w:hAnsi="Arial" w:cs="Arial"/>
          <w:b/>
          <w:bCs/>
          <w:sz w:val="24"/>
          <w:szCs w:val="24"/>
        </w:rPr>
        <w:t>17</w:t>
      </w:r>
      <w:r w:rsidR="00AA446E" w:rsidRPr="00B056C9">
        <w:rPr>
          <w:rFonts w:ascii="Arial" w:hAnsi="Arial" w:cs="Arial"/>
          <w:b/>
          <w:bCs/>
          <w:sz w:val="24"/>
          <w:szCs w:val="24"/>
        </w:rPr>
        <w:t>160</w:t>
      </w:r>
      <w:r w:rsidRPr="00B056C9">
        <w:rPr>
          <w:rFonts w:ascii="Arial" w:hAnsi="Arial" w:cs="Arial"/>
          <w:bCs/>
          <w:sz w:val="24"/>
          <w:szCs w:val="24"/>
        </w:rPr>
        <w:t xml:space="preserve">, over 22 years. </w:t>
      </w:r>
    </w:p>
    <w:p w:rsidR="00DB06A8" w:rsidRPr="00B056C9" w:rsidRDefault="00DB06A8" w:rsidP="002E3C5E">
      <w:pPr>
        <w:rPr>
          <w:rFonts w:ascii="Arial" w:hAnsi="Arial" w:cs="Arial"/>
          <w:bCs/>
          <w:sz w:val="24"/>
          <w:szCs w:val="24"/>
        </w:rPr>
      </w:pPr>
      <w:r w:rsidRPr="00B056C9">
        <w:rPr>
          <w:rFonts w:ascii="Arial" w:hAnsi="Arial" w:cs="Arial"/>
          <w:bCs/>
          <w:sz w:val="24"/>
          <w:szCs w:val="24"/>
        </w:rPr>
        <w:t>Based on the 2008 HGI figures this would result the total number of units over th</w:t>
      </w:r>
      <w:r w:rsidR="00AA446E" w:rsidRPr="00B056C9">
        <w:rPr>
          <w:rFonts w:ascii="Arial" w:hAnsi="Arial" w:cs="Arial"/>
          <w:bCs/>
          <w:sz w:val="24"/>
          <w:szCs w:val="24"/>
        </w:rPr>
        <w:t>e plan period (2015-2030) as 780</w:t>
      </w:r>
      <w:r w:rsidRPr="00B056C9">
        <w:rPr>
          <w:rFonts w:ascii="Arial" w:hAnsi="Arial" w:cs="Arial"/>
          <w:bCs/>
          <w:sz w:val="24"/>
          <w:szCs w:val="24"/>
        </w:rPr>
        <w:t xml:space="preserve"> </w:t>
      </w:r>
      <w:r w:rsidR="00AA446E" w:rsidRPr="00B056C9">
        <w:rPr>
          <w:rFonts w:ascii="Arial" w:hAnsi="Arial" w:cs="Arial"/>
          <w:bCs/>
          <w:sz w:val="24"/>
          <w:szCs w:val="24"/>
        </w:rPr>
        <w:t xml:space="preserve">x 15 years results in </w:t>
      </w:r>
      <w:r w:rsidR="00AA446E" w:rsidRPr="00B056C9">
        <w:rPr>
          <w:rFonts w:ascii="Arial" w:hAnsi="Arial" w:cs="Arial"/>
          <w:b/>
          <w:bCs/>
          <w:sz w:val="24"/>
          <w:szCs w:val="24"/>
        </w:rPr>
        <w:t xml:space="preserve">11700. </w:t>
      </w:r>
    </w:p>
    <w:p w:rsidR="00AA446E" w:rsidRPr="00B056C9" w:rsidRDefault="00DB06A8" w:rsidP="002E3C5E">
      <w:pPr>
        <w:rPr>
          <w:rFonts w:ascii="Arial" w:hAnsi="Arial" w:cs="Arial"/>
          <w:bCs/>
          <w:sz w:val="24"/>
          <w:szCs w:val="24"/>
        </w:rPr>
      </w:pPr>
      <w:r w:rsidRPr="00B056C9">
        <w:rPr>
          <w:rFonts w:ascii="Arial" w:hAnsi="Arial" w:cs="Arial"/>
          <w:bCs/>
          <w:sz w:val="24"/>
          <w:szCs w:val="24"/>
        </w:rPr>
        <w:t xml:space="preserve">Throughout the body of the text in the housing allocation paper the reader was informed that the figures were provisional and were likely to be revised downwards </w:t>
      </w:r>
      <w:r w:rsidR="00AA446E" w:rsidRPr="00B056C9">
        <w:rPr>
          <w:rFonts w:ascii="Arial" w:hAnsi="Arial" w:cs="Arial"/>
          <w:bCs/>
          <w:sz w:val="24"/>
          <w:szCs w:val="24"/>
        </w:rPr>
        <w:t>in response to</w:t>
      </w:r>
      <w:r w:rsidRPr="00B056C9">
        <w:rPr>
          <w:rFonts w:ascii="Arial" w:hAnsi="Arial" w:cs="Arial"/>
          <w:bCs/>
          <w:sz w:val="24"/>
          <w:szCs w:val="24"/>
        </w:rPr>
        <w:t xml:space="preserve"> the Department of Regional Development (DRD)</w:t>
      </w:r>
      <w:r w:rsidR="00AA446E" w:rsidRPr="00B056C9">
        <w:rPr>
          <w:rFonts w:ascii="Arial" w:hAnsi="Arial" w:cs="Arial"/>
          <w:bCs/>
          <w:sz w:val="24"/>
          <w:szCs w:val="24"/>
        </w:rPr>
        <w:t xml:space="preserve"> </w:t>
      </w:r>
      <w:r w:rsidR="00B056C9">
        <w:rPr>
          <w:rFonts w:ascii="Arial" w:hAnsi="Arial" w:cs="Arial"/>
          <w:bCs/>
          <w:sz w:val="24"/>
          <w:szCs w:val="24"/>
        </w:rPr>
        <w:t>when</w:t>
      </w:r>
      <w:r w:rsidR="00022D21" w:rsidRPr="00B056C9">
        <w:rPr>
          <w:rFonts w:ascii="Arial" w:hAnsi="Arial" w:cs="Arial"/>
          <w:bCs/>
          <w:sz w:val="24"/>
          <w:szCs w:val="24"/>
        </w:rPr>
        <w:t xml:space="preserve"> </w:t>
      </w:r>
      <w:r w:rsidR="00B056C9">
        <w:rPr>
          <w:rFonts w:ascii="Arial" w:hAnsi="Arial" w:cs="Arial"/>
          <w:bCs/>
          <w:sz w:val="24"/>
          <w:szCs w:val="24"/>
        </w:rPr>
        <w:t>revised HGI figures were published.</w:t>
      </w:r>
    </w:p>
    <w:p w:rsidR="00AA446E" w:rsidRPr="00B056C9" w:rsidRDefault="002E3C5E" w:rsidP="002E3C5E">
      <w:pPr>
        <w:rPr>
          <w:rFonts w:ascii="Arial" w:hAnsi="Arial" w:cs="Arial"/>
          <w:bCs/>
          <w:sz w:val="24"/>
          <w:szCs w:val="24"/>
        </w:rPr>
      </w:pPr>
      <w:r w:rsidRPr="00B056C9">
        <w:rPr>
          <w:rFonts w:ascii="Arial" w:hAnsi="Arial" w:cs="Arial"/>
          <w:bCs/>
          <w:sz w:val="24"/>
          <w:szCs w:val="24"/>
        </w:rPr>
        <w:lastRenderedPageBreak/>
        <w:t xml:space="preserve">The latest HGIs </w:t>
      </w:r>
      <w:r w:rsidR="00DF4D88" w:rsidRPr="00B056C9">
        <w:rPr>
          <w:rFonts w:ascii="Arial" w:hAnsi="Arial" w:cs="Arial"/>
          <w:bCs/>
          <w:sz w:val="24"/>
          <w:szCs w:val="24"/>
        </w:rPr>
        <w:t xml:space="preserve">figures have been published in April 2016 by the DRD, and </w:t>
      </w:r>
      <w:r w:rsidRPr="00B056C9">
        <w:rPr>
          <w:rFonts w:ascii="Arial" w:hAnsi="Arial" w:cs="Arial"/>
          <w:bCs/>
          <w:sz w:val="24"/>
          <w:szCs w:val="24"/>
        </w:rPr>
        <w:t>use 2012 based</w:t>
      </w:r>
      <w:r w:rsidR="00DF4D88" w:rsidRPr="00B056C9">
        <w:rPr>
          <w:rFonts w:ascii="Arial" w:hAnsi="Arial" w:cs="Arial"/>
          <w:bCs/>
          <w:sz w:val="24"/>
          <w:szCs w:val="24"/>
        </w:rPr>
        <w:t xml:space="preserve"> </w:t>
      </w:r>
      <w:r w:rsidRPr="00B056C9">
        <w:rPr>
          <w:rFonts w:ascii="Arial" w:hAnsi="Arial" w:cs="Arial"/>
          <w:bCs/>
          <w:sz w:val="24"/>
          <w:szCs w:val="24"/>
        </w:rPr>
        <w:t xml:space="preserve">household projections and </w:t>
      </w:r>
      <w:r w:rsidR="00AA446E" w:rsidRPr="00B056C9">
        <w:rPr>
          <w:rFonts w:ascii="Arial" w:hAnsi="Arial" w:cs="Arial"/>
          <w:bCs/>
          <w:sz w:val="24"/>
          <w:szCs w:val="24"/>
        </w:rPr>
        <w:t xml:space="preserve">have </w:t>
      </w:r>
      <w:r w:rsidRPr="00B056C9">
        <w:rPr>
          <w:rFonts w:ascii="Arial" w:hAnsi="Arial" w:cs="Arial"/>
          <w:bCs/>
          <w:sz w:val="24"/>
          <w:szCs w:val="24"/>
        </w:rPr>
        <w:t>be</w:t>
      </w:r>
      <w:r w:rsidR="00AA446E" w:rsidRPr="00B056C9">
        <w:rPr>
          <w:rFonts w:ascii="Arial" w:hAnsi="Arial" w:cs="Arial"/>
          <w:bCs/>
          <w:sz w:val="24"/>
          <w:szCs w:val="24"/>
        </w:rPr>
        <w:t>en</w:t>
      </w:r>
      <w:r w:rsidRPr="00B056C9">
        <w:rPr>
          <w:rFonts w:ascii="Arial" w:hAnsi="Arial" w:cs="Arial"/>
          <w:bCs/>
          <w:sz w:val="24"/>
          <w:szCs w:val="24"/>
        </w:rPr>
        <w:t xml:space="preserve"> calculated for the time period 2012-2025.  The HGIs have been calculated for Northern Ireland and also for each of the 11 Local Government Districts (LGDs). Based on published data for Mid U</w:t>
      </w:r>
      <w:r w:rsidR="00DF4D88" w:rsidRPr="00B056C9">
        <w:rPr>
          <w:rFonts w:ascii="Arial" w:hAnsi="Arial" w:cs="Arial"/>
          <w:bCs/>
          <w:sz w:val="24"/>
          <w:szCs w:val="24"/>
        </w:rPr>
        <w:t>lster the projected new d</w:t>
      </w:r>
      <w:r w:rsidRPr="00B056C9">
        <w:rPr>
          <w:rFonts w:ascii="Arial" w:hAnsi="Arial" w:cs="Arial"/>
          <w:bCs/>
          <w:sz w:val="24"/>
          <w:szCs w:val="24"/>
        </w:rPr>
        <w:t xml:space="preserve">welling requirement for the period 2012-2025 is </w:t>
      </w:r>
      <w:r w:rsidRPr="00B056C9">
        <w:rPr>
          <w:rFonts w:ascii="Arial" w:hAnsi="Arial" w:cs="Arial"/>
          <w:b/>
          <w:bCs/>
          <w:sz w:val="24"/>
          <w:szCs w:val="24"/>
        </w:rPr>
        <w:t>9500.</w:t>
      </w:r>
      <w:r w:rsidRPr="00B056C9">
        <w:rPr>
          <w:rFonts w:ascii="Arial" w:hAnsi="Arial" w:cs="Arial"/>
          <w:bCs/>
          <w:sz w:val="24"/>
          <w:szCs w:val="24"/>
        </w:rPr>
        <w:t xml:space="preserve"> </w:t>
      </w:r>
    </w:p>
    <w:p w:rsidR="00DF4D88" w:rsidRPr="00B056C9" w:rsidRDefault="00022D21" w:rsidP="002E3C5E">
      <w:pPr>
        <w:rPr>
          <w:rFonts w:ascii="Arial" w:hAnsi="Arial" w:cs="Arial"/>
          <w:b/>
          <w:bCs/>
          <w:sz w:val="24"/>
          <w:szCs w:val="24"/>
        </w:rPr>
      </w:pPr>
      <w:r w:rsidRPr="00B056C9">
        <w:rPr>
          <w:rFonts w:ascii="Arial" w:hAnsi="Arial" w:cs="Arial"/>
          <w:bCs/>
          <w:sz w:val="24"/>
          <w:szCs w:val="24"/>
        </w:rPr>
        <w:t xml:space="preserve">To draw comparison between the 2008 based HGI figures and the most recent 2012 HGI figures, we must firstly apply the same methodology to arrive at the total allocation over the Plan Period (2015-2030). The updated figures are for the period 2012-2025 (13years) to obtain the yearly allocation the total of 9500 divided by the number of years we arrive at approximately 730 units per year. This results in the total allocation of 730 x 15 years (2015-2030) </w:t>
      </w:r>
      <w:r w:rsidRPr="00B056C9">
        <w:rPr>
          <w:rFonts w:ascii="Arial" w:hAnsi="Arial" w:cs="Arial"/>
          <w:b/>
          <w:bCs/>
          <w:sz w:val="24"/>
          <w:szCs w:val="24"/>
        </w:rPr>
        <w:t>10950</w:t>
      </w:r>
      <w:r w:rsidR="00E2527A" w:rsidRPr="00B056C9">
        <w:rPr>
          <w:rFonts w:ascii="Arial" w:hAnsi="Arial" w:cs="Arial"/>
          <w:b/>
          <w:bCs/>
          <w:sz w:val="24"/>
          <w:szCs w:val="24"/>
        </w:rPr>
        <w:t>.</w:t>
      </w:r>
    </w:p>
    <w:p w:rsidR="00D6036A" w:rsidRPr="00B056C9" w:rsidRDefault="00D6036A" w:rsidP="002E3C5E">
      <w:pPr>
        <w:rPr>
          <w:rFonts w:ascii="Arial" w:hAnsi="Arial" w:cs="Arial"/>
          <w:bCs/>
          <w:sz w:val="24"/>
          <w:szCs w:val="24"/>
        </w:rPr>
      </w:pPr>
      <w:r w:rsidRPr="00B056C9">
        <w:rPr>
          <w:rFonts w:ascii="Arial" w:hAnsi="Arial" w:cs="Arial"/>
          <w:bCs/>
          <w:sz w:val="24"/>
          <w:szCs w:val="24"/>
        </w:rPr>
        <w:t xml:space="preserve">This results in a downward revision in the housing allocation across Mid-Ulster </w:t>
      </w:r>
      <w:r w:rsidR="009E52AE" w:rsidRPr="00B056C9">
        <w:rPr>
          <w:rFonts w:ascii="Arial" w:hAnsi="Arial" w:cs="Arial"/>
          <w:bCs/>
          <w:sz w:val="24"/>
          <w:szCs w:val="24"/>
        </w:rPr>
        <w:t xml:space="preserve">over the plan period from 2015 – 2030 of a reduction of </w:t>
      </w:r>
      <w:r w:rsidR="00A66E91" w:rsidRPr="00B056C9">
        <w:rPr>
          <w:rFonts w:ascii="Arial" w:hAnsi="Arial" w:cs="Arial"/>
          <w:b/>
          <w:bCs/>
          <w:sz w:val="24"/>
          <w:szCs w:val="24"/>
        </w:rPr>
        <w:t>7</w:t>
      </w:r>
      <w:r w:rsidR="009E52AE" w:rsidRPr="00B056C9">
        <w:rPr>
          <w:rFonts w:ascii="Arial" w:hAnsi="Arial" w:cs="Arial"/>
          <w:b/>
          <w:bCs/>
          <w:sz w:val="24"/>
          <w:szCs w:val="24"/>
        </w:rPr>
        <w:t>50</w:t>
      </w:r>
      <w:r w:rsidR="009E52AE" w:rsidRPr="00B056C9">
        <w:rPr>
          <w:rFonts w:ascii="Arial" w:hAnsi="Arial" w:cs="Arial"/>
          <w:bCs/>
          <w:sz w:val="24"/>
          <w:szCs w:val="24"/>
        </w:rPr>
        <w:t xml:space="preserve"> units in total. </w:t>
      </w:r>
    </w:p>
    <w:p w:rsidR="009E52AE" w:rsidRPr="00B056C9" w:rsidRDefault="00A66E91" w:rsidP="002E3C5E">
      <w:pPr>
        <w:rPr>
          <w:rFonts w:ascii="Arial" w:hAnsi="Arial" w:cs="Arial"/>
          <w:bCs/>
          <w:sz w:val="24"/>
          <w:szCs w:val="24"/>
        </w:rPr>
      </w:pPr>
      <w:r w:rsidRPr="00B056C9">
        <w:rPr>
          <w:rFonts w:ascii="Arial" w:hAnsi="Arial" w:cs="Arial"/>
          <w:bCs/>
          <w:sz w:val="24"/>
          <w:szCs w:val="24"/>
        </w:rPr>
        <w:t>The DRD publication on the revised HGI figures offer</w:t>
      </w:r>
      <w:r w:rsidR="00736ED9" w:rsidRPr="00B056C9">
        <w:rPr>
          <w:rFonts w:ascii="Arial" w:hAnsi="Arial" w:cs="Arial"/>
          <w:bCs/>
          <w:sz w:val="24"/>
          <w:szCs w:val="24"/>
        </w:rPr>
        <w:t>s</w:t>
      </w:r>
      <w:r w:rsidRPr="00B056C9">
        <w:rPr>
          <w:rFonts w:ascii="Arial" w:hAnsi="Arial" w:cs="Arial"/>
          <w:bCs/>
          <w:sz w:val="24"/>
          <w:szCs w:val="24"/>
        </w:rPr>
        <w:t xml:space="preserve"> clarification and possible contributions </w:t>
      </w:r>
      <w:r w:rsidR="00736ED9" w:rsidRPr="00B056C9">
        <w:rPr>
          <w:rFonts w:ascii="Arial" w:hAnsi="Arial" w:cs="Arial"/>
          <w:bCs/>
          <w:sz w:val="24"/>
          <w:szCs w:val="24"/>
        </w:rPr>
        <w:t xml:space="preserve">to the housing allocation being revised downwards. </w:t>
      </w:r>
    </w:p>
    <w:p w:rsidR="00736ED9" w:rsidRPr="00B056C9" w:rsidRDefault="00736ED9" w:rsidP="00736ED9">
      <w:pPr>
        <w:pStyle w:val="ListParagraph"/>
        <w:numPr>
          <w:ilvl w:val="0"/>
          <w:numId w:val="1"/>
        </w:numPr>
        <w:rPr>
          <w:rFonts w:ascii="Arial" w:hAnsi="Arial" w:cs="Arial"/>
          <w:bCs/>
          <w:sz w:val="24"/>
          <w:szCs w:val="24"/>
        </w:rPr>
      </w:pPr>
      <w:r w:rsidRPr="00B056C9">
        <w:rPr>
          <w:rFonts w:ascii="Arial" w:hAnsi="Arial" w:cs="Arial"/>
          <w:bCs/>
          <w:sz w:val="24"/>
          <w:szCs w:val="24"/>
        </w:rPr>
        <w:t>The change in household formation trends</w:t>
      </w:r>
    </w:p>
    <w:p w:rsidR="00736ED9" w:rsidRPr="00B056C9" w:rsidRDefault="00736ED9" w:rsidP="00736ED9">
      <w:pPr>
        <w:pStyle w:val="ListParagraph"/>
        <w:numPr>
          <w:ilvl w:val="0"/>
          <w:numId w:val="1"/>
        </w:numPr>
        <w:rPr>
          <w:rFonts w:ascii="Arial" w:hAnsi="Arial" w:cs="Arial"/>
          <w:bCs/>
          <w:sz w:val="24"/>
          <w:szCs w:val="24"/>
        </w:rPr>
      </w:pPr>
      <w:r w:rsidRPr="00B056C9">
        <w:rPr>
          <w:rFonts w:ascii="Arial" w:hAnsi="Arial" w:cs="Arial"/>
          <w:bCs/>
          <w:sz w:val="24"/>
          <w:szCs w:val="24"/>
        </w:rPr>
        <w:t>Estimates of average household size are higher</w:t>
      </w:r>
    </w:p>
    <w:p w:rsidR="00736ED9" w:rsidRPr="00B056C9" w:rsidRDefault="00736ED9" w:rsidP="00736ED9">
      <w:pPr>
        <w:pStyle w:val="ListParagraph"/>
        <w:numPr>
          <w:ilvl w:val="0"/>
          <w:numId w:val="1"/>
        </w:numPr>
        <w:rPr>
          <w:rFonts w:ascii="Arial" w:hAnsi="Arial" w:cs="Arial"/>
          <w:bCs/>
          <w:sz w:val="24"/>
          <w:szCs w:val="24"/>
        </w:rPr>
      </w:pPr>
      <w:r w:rsidRPr="00B056C9">
        <w:rPr>
          <w:rFonts w:ascii="Arial" w:hAnsi="Arial" w:cs="Arial"/>
          <w:bCs/>
          <w:sz w:val="24"/>
          <w:szCs w:val="24"/>
        </w:rPr>
        <w:t xml:space="preserve">Estimates of future population size are lower </w:t>
      </w:r>
    </w:p>
    <w:p w:rsidR="009E52AE" w:rsidRPr="00B056C9" w:rsidRDefault="004B51FF" w:rsidP="002E3C5E">
      <w:pPr>
        <w:rPr>
          <w:rFonts w:ascii="Arial" w:hAnsi="Arial" w:cs="Arial"/>
          <w:bCs/>
          <w:sz w:val="24"/>
          <w:szCs w:val="24"/>
        </w:rPr>
      </w:pPr>
      <w:r w:rsidRPr="00B056C9">
        <w:rPr>
          <w:rFonts w:ascii="Arial" w:hAnsi="Arial" w:cs="Arial"/>
          <w:bCs/>
          <w:sz w:val="24"/>
          <w:szCs w:val="24"/>
        </w:rPr>
        <w:t>At a recent Local Development Plan working group meeting a representative of DRD indicated verbally that the HGI’s would be again reviewed in 3 years’ time (2018). This timeframe will coincide with the production of the LDP and may conflict with this process, as the forward planning will have been based on the revised HGI’s. It is therefore suggested that the HGI’s are reviewed every 5 years, in line with time period placed upon councils The Local Development Plan Regulations (Northern Ireland) 201</w:t>
      </w:r>
      <w:r w:rsidR="00B056C9">
        <w:rPr>
          <w:rFonts w:ascii="Arial" w:hAnsi="Arial" w:cs="Arial"/>
          <w:bCs/>
          <w:sz w:val="24"/>
          <w:szCs w:val="24"/>
        </w:rPr>
        <w:t>5 for the review of their LDP’s.</w:t>
      </w:r>
    </w:p>
    <w:p w:rsidR="002E3C5E" w:rsidRPr="00B056C9" w:rsidRDefault="002E3C5E" w:rsidP="002E3C5E">
      <w:pPr>
        <w:rPr>
          <w:rFonts w:ascii="Arial" w:hAnsi="Arial" w:cs="Arial"/>
          <w:bCs/>
          <w:sz w:val="24"/>
          <w:szCs w:val="24"/>
        </w:rPr>
      </w:pPr>
    </w:p>
    <w:p w:rsidR="002E3C5E" w:rsidRPr="00B056C9" w:rsidRDefault="002E3C5E" w:rsidP="002E3C5E">
      <w:pPr>
        <w:rPr>
          <w:rFonts w:ascii="Arial" w:hAnsi="Arial" w:cs="Arial"/>
          <w:sz w:val="24"/>
          <w:szCs w:val="24"/>
        </w:rPr>
      </w:pPr>
    </w:p>
    <w:sectPr w:rsidR="002E3C5E" w:rsidRPr="00B05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B03E6"/>
    <w:multiLevelType w:val="hybridMultilevel"/>
    <w:tmpl w:val="959E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5E"/>
    <w:rsid w:val="00022D21"/>
    <w:rsid w:val="00076227"/>
    <w:rsid w:val="002E3C5E"/>
    <w:rsid w:val="0032202A"/>
    <w:rsid w:val="003F61CD"/>
    <w:rsid w:val="004B51FF"/>
    <w:rsid w:val="00562866"/>
    <w:rsid w:val="007270A9"/>
    <w:rsid w:val="00736ED9"/>
    <w:rsid w:val="007D7CFA"/>
    <w:rsid w:val="008307E2"/>
    <w:rsid w:val="009E52AE"/>
    <w:rsid w:val="00A66E91"/>
    <w:rsid w:val="00AA446E"/>
    <w:rsid w:val="00B056C9"/>
    <w:rsid w:val="00BD260A"/>
    <w:rsid w:val="00D6036A"/>
    <w:rsid w:val="00DB06A8"/>
    <w:rsid w:val="00DF4D88"/>
    <w:rsid w:val="00E050D8"/>
    <w:rsid w:val="00E2527A"/>
    <w:rsid w:val="00EE6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4D3F0-E149-4313-A7AA-F2D48E70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6A8"/>
    <w:pPr>
      <w:spacing w:after="0" w:line="240" w:lineRule="auto"/>
    </w:pPr>
  </w:style>
  <w:style w:type="paragraph" w:styleId="ListParagraph">
    <w:name w:val="List Paragraph"/>
    <w:basedOn w:val="Normal"/>
    <w:uiPriority w:val="34"/>
    <w:qFormat/>
    <w:rsid w:val="00736ED9"/>
    <w:pPr>
      <w:ind w:left="720"/>
      <w:contextualSpacing/>
    </w:pPr>
  </w:style>
  <w:style w:type="paragraph" w:styleId="BalloonText">
    <w:name w:val="Balloon Text"/>
    <w:basedOn w:val="Normal"/>
    <w:link w:val="BalloonTextChar"/>
    <w:uiPriority w:val="99"/>
    <w:semiHidden/>
    <w:unhideWhenUsed/>
    <w:rsid w:val="00E05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0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O'Kane</dc:creator>
  <cp:keywords/>
  <dc:description/>
  <cp:lastModifiedBy>Leah McCann</cp:lastModifiedBy>
  <cp:revision>2</cp:revision>
  <cp:lastPrinted>2016-06-14T14:08:00Z</cp:lastPrinted>
  <dcterms:created xsi:type="dcterms:W3CDTF">2022-02-10T11:56:00Z</dcterms:created>
  <dcterms:modified xsi:type="dcterms:W3CDTF">2022-02-10T11:56:00Z</dcterms:modified>
</cp:coreProperties>
</file>