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shapetype id="_x0000_t202" o:spt="202" coordsize="21600,21600" path="m,l,21600r21600,l21600,xe">
            <v:stroke joinstyle="miter"/>
            <v:path gradientshapeok="t" o:connecttype="rect"/>
          </v:shapetype>
          <v:shape style="position:absolute;margin-left:523.694824pt;margin-top:794.501526pt;width:5.35pt;height:13.3pt;mso-position-horizontal-relative:page;mso-position-vertical-relative:page;z-index:-252560384" type="#_x0000_t202" filled="false" stroked="false">
            <v:textbox inset="0,0,0,0">
              <w:txbxContent>
                <w:p>
                  <w:pPr>
                    <w:spacing w:before="22"/>
                    <w:ind w:left="0" w:right="0" w:firstLine="0"/>
                    <w:jc w:val="left"/>
                    <w:rPr>
                      <w:rFonts w:ascii="Bommer Slab SemiBold"/>
                      <w:b/>
                      <w:sz w:val="18"/>
                    </w:rPr>
                  </w:pPr>
                  <w:r>
                    <w:rPr>
                      <w:rFonts w:ascii="Bommer Slab SemiBold"/>
                      <w:b/>
                      <w:color w:val="FFFFFF"/>
                      <w:sz w:val="18"/>
                    </w:rPr>
                    <w:t>1</w:t>
                  </w:r>
                </w:p>
              </w:txbxContent>
            </v:textbox>
            <w10:wrap type="none"/>
          </v:shape>
        </w:pict>
      </w:r>
      <w:r>
        <w:rPr/>
        <w:pict>
          <v:group style="position:absolute;margin-left:39.685001pt;margin-top:713.468811pt;width:528.7pt;height:114.25pt;mso-position-horizontal-relative:page;mso-position-vertical-relative:page;z-index:251660288" coordorigin="794,14269" coordsize="10574,2285">
            <v:rect style="position:absolute;left:793;top:15363;width:10574;height:1191" filled="true" fillcolor="#ffffff" stroked="false">
              <v:fill type="solid"/>
            </v:rect>
            <v:shape style="position:absolute;left:6946;top:14269;width:1310;height:1546" type="#_x0000_t75" stroked="false">
              <v:imagedata r:id="rId5" o:title=""/>
            </v:shape>
            <v:shape style="position:absolute;left:8540;top:15136;width:2020;height:590" type="#_x0000_t75" stroked="false">
              <v:imagedata r:id="rId6" o:title=""/>
            </v:shape>
            <v:shape style="position:absolute;left:8529;top:14423;width:2215;height:579" type="#_x0000_t75" stroked="false">
              <v:imagedata r:id="rId7" o:title=""/>
            </v:shape>
            <v:shape style="position:absolute;left:1127;top:15388;width:2333;height:291" type="#_x0000_t202" filled="false" stroked="false">
              <v:textbox inset="0,0,0,0">
                <w:txbxContent>
                  <w:p>
                    <w:pPr>
                      <w:spacing w:line="290" w:lineRule="exact" w:before="0"/>
                      <w:ind w:left="0" w:right="0" w:firstLine="0"/>
                      <w:jc w:val="left"/>
                      <w:rPr>
                        <w:sz w:val="26"/>
                      </w:rPr>
                    </w:pPr>
                    <w:r>
                      <w:rPr>
                        <w:color w:val="EE3825"/>
                        <w:sz w:val="26"/>
                      </w:rPr>
                      <w:t>midulstercouncil.org</w:t>
                    </w:r>
                  </w:p>
                </w:txbxContent>
              </v:textbox>
              <w10:wrap type="none"/>
            </v:shape>
            <w10:wrap type="none"/>
          </v:group>
        </w:pict>
      </w:r>
      <w:r>
        <w:rPr/>
        <w:drawing>
          <wp:anchor distT="0" distB="0" distL="0" distR="0" allowOverlap="1" layoutInCell="1" locked="0" behindDoc="1" simplePos="0" relativeHeight="250759168">
            <wp:simplePos x="0" y="0"/>
            <wp:positionH relativeFrom="page">
              <wp:posOffset>0</wp:posOffset>
            </wp:positionH>
            <wp:positionV relativeFrom="page">
              <wp:posOffset>0</wp:posOffset>
            </wp:positionV>
            <wp:extent cx="7560005" cy="6032999"/>
            <wp:effectExtent l="0" t="0" r="0" b="0"/>
            <wp:wrapNone/>
            <wp:docPr id="1" name="image4.png"/>
            <wp:cNvGraphicFramePr>
              <a:graphicFrameLocks noChangeAspect="1"/>
            </wp:cNvGraphicFramePr>
            <a:graphic>
              <a:graphicData uri="http://schemas.openxmlformats.org/drawingml/2006/picture">
                <pic:pic>
                  <pic:nvPicPr>
                    <pic:cNvPr id="2" name="image4.png"/>
                    <pic:cNvPicPr/>
                  </pic:nvPicPr>
                  <pic:blipFill>
                    <a:blip r:embed="rId8" cstate="print"/>
                    <a:stretch>
                      <a:fillRect/>
                    </a:stretch>
                  </pic:blipFill>
                  <pic:spPr>
                    <a:xfrm>
                      <a:off x="0" y="0"/>
                      <a:ext cx="7560005" cy="6032999"/>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18"/>
        </w:rPr>
      </w:pPr>
    </w:p>
    <w:p>
      <w:pPr>
        <w:spacing w:line="220" w:lineRule="auto" w:before="306"/>
        <w:ind w:left="113" w:right="4050" w:firstLine="0"/>
        <w:jc w:val="left"/>
        <w:rPr>
          <w:rFonts w:ascii="Bommer Slab"/>
          <w:b/>
          <w:sz w:val="96"/>
        </w:rPr>
      </w:pPr>
      <w:r>
        <w:rPr>
          <w:rFonts w:ascii="Bommer Slab"/>
          <w:b/>
          <w:color w:val="EE3825"/>
          <w:sz w:val="96"/>
        </w:rPr>
        <w:t>Application Validation Checklist</w:t>
      </w:r>
    </w:p>
    <w:p>
      <w:pPr>
        <w:spacing w:after="0" w:line="220" w:lineRule="auto"/>
        <w:jc w:val="left"/>
        <w:rPr>
          <w:rFonts w:ascii="Bommer Slab"/>
          <w:sz w:val="96"/>
        </w:rPr>
        <w:sectPr>
          <w:type w:val="continuous"/>
          <w:pgSz w:w="11910" w:h="16840"/>
          <w:pgMar w:top="0" w:bottom="0" w:left="1020" w:right="1020"/>
        </w:sectPr>
      </w:pPr>
    </w:p>
    <w:p>
      <w:pPr>
        <w:spacing w:before="120"/>
        <w:ind w:left="113" w:right="0" w:firstLine="0"/>
        <w:jc w:val="left"/>
        <w:rPr>
          <w:rFonts w:ascii="Bommer Slab"/>
          <w:b/>
          <w:sz w:val="28"/>
        </w:rPr>
      </w:pPr>
      <w:r>
        <w:rPr>
          <w:rFonts w:ascii="Bommer Slab"/>
          <w:b/>
          <w:color w:val="EE3825"/>
          <w:sz w:val="28"/>
        </w:rPr>
        <w:t>Planning Application Validation Checklist</w:t>
      </w:r>
    </w:p>
    <w:p>
      <w:pPr>
        <w:pStyle w:val="Heading1"/>
        <w:numPr>
          <w:ilvl w:val="1"/>
          <w:numId w:val="1"/>
        </w:numPr>
        <w:tabs>
          <w:tab w:pos="833" w:val="left" w:leader="none"/>
          <w:tab w:pos="834" w:val="left" w:leader="none"/>
        </w:tabs>
        <w:spacing w:line="240" w:lineRule="auto" w:before="283" w:after="0"/>
        <w:ind w:left="833" w:right="0" w:hanging="721"/>
        <w:jc w:val="left"/>
        <w:rPr>
          <w:color w:val="EE3825"/>
        </w:rPr>
      </w:pPr>
      <w:r>
        <w:rPr>
          <w:color w:val="EE3825"/>
        </w:rPr>
        <w:t>Introduction</w:t>
      </w:r>
    </w:p>
    <w:p>
      <w:pPr>
        <w:pStyle w:val="ListParagraph"/>
        <w:numPr>
          <w:ilvl w:val="1"/>
          <w:numId w:val="1"/>
        </w:numPr>
        <w:tabs>
          <w:tab w:pos="1556" w:val="left" w:leader="none"/>
          <w:tab w:pos="1557" w:val="left" w:leader="none"/>
        </w:tabs>
        <w:spacing w:line="249" w:lineRule="auto" w:before="170" w:after="0"/>
        <w:ind w:left="836" w:right="151" w:firstLine="0"/>
        <w:jc w:val="left"/>
        <w:rPr>
          <w:sz w:val="22"/>
        </w:rPr>
      </w:pPr>
      <w:r>
        <w:rPr>
          <w:sz w:val="22"/>
        </w:rPr>
        <w:t>On 1st October 2024, the Department for Infrastructure (DfI) made a Statutory Rule, The Planning (General Development Procedure) (Amendment) Order (Northern Ireland) 2024, which enables Councils to publish a planning application </w:t>
      </w:r>
      <w:r>
        <w:rPr>
          <w:spacing w:val="-3"/>
          <w:sz w:val="22"/>
        </w:rPr>
        <w:t>“Validation</w:t>
      </w:r>
      <w:r>
        <w:rPr>
          <w:spacing w:val="-31"/>
          <w:sz w:val="22"/>
        </w:rPr>
        <w:t> </w:t>
      </w:r>
      <w:r>
        <w:rPr>
          <w:sz w:val="22"/>
        </w:rPr>
        <w:t>Checklist”.</w:t>
      </w:r>
    </w:p>
    <w:p>
      <w:pPr>
        <w:pStyle w:val="BodyText"/>
        <w:spacing w:before="2"/>
        <w:rPr>
          <w:sz w:val="23"/>
        </w:rPr>
      </w:pPr>
    </w:p>
    <w:p>
      <w:pPr>
        <w:pStyle w:val="ListParagraph"/>
        <w:numPr>
          <w:ilvl w:val="1"/>
          <w:numId w:val="1"/>
        </w:numPr>
        <w:tabs>
          <w:tab w:pos="1556" w:val="left" w:leader="none"/>
          <w:tab w:pos="1557" w:val="left" w:leader="none"/>
        </w:tabs>
        <w:spacing w:line="254" w:lineRule="auto" w:before="0" w:after="0"/>
        <w:ind w:left="836" w:right="554" w:firstLine="0"/>
        <w:jc w:val="left"/>
        <w:rPr>
          <w:sz w:val="22"/>
        </w:rPr>
      </w:pPr>
      <w:r>
        <w:rPr>
          <w:sz w:val="22"/>
        </w:rPr>
        <w:t>This Direction contains the Mid Ulster District Council validation checklist. The purpose of the validation checklist is to assist applicants and agents in the identification of information that will be needed to accompany a planning application and to avoid unnecessary delays in the processing of a planning application upon its</w:t>
      </w:r>
      <w:r>
        <w:rPr>
          <w:spacing w:val="-32"/>
          <w:sz w:val="22"/>
        </w:rPr>
        <w:t> </w:t>
      </w:r>
      <w:r>
        <w:rPr>
          <w:sz w:val="22"/>
        </w:rPr>
        <w:t>receipt.</w:t>
      </w:r>
    </w:p>
    <w:p>
      <w:pPr>
        <w:pStyle w:val="BodyText"/>
        <w:rPr>
          <w:sz w:val="20"/>
        </w:rPr>
      </w:pPr>
    </w:p>
    <w:p>
      <w:pPr>
        <w:pStyle w:val="BodyText"/>
        <w:rPr>
          <w:sz w:val="20"/>
        </w:rPr>
      </w:pPr>
    </w:p>
    <w:p>
      <w:pPr>
        <w:pStyle w:val="BodyText"/>
        <w:spacing w:before="2"/>
        <w:rPr>
          <w:sz w:val="25"/>
        </w:rPr>
      </w:pPr>
    </w:p>
    <w:p>
      <w:pPr>
        <w:pStyle w:val="Heading1"/>
        <w:numPr>
          <w:ilvl w:val="1"/>
          <w:numId w:val="2"/>
        </w:numPr>
        <w:tabs>
          <w:tab w:pos="887" w:val="left" w:leader="none"/>
          <w:tab w:pos="888" w:val="left" w:leader="none"/>
        </w:tabs>
        <w:spacing w:line="240" w:lineRule="auto" w:before="0" w:after="0"/>
        <w:ind w:left="887" w:right="0" w:hanging="775"/>
        <w:jc w:val="left"/>
        <w:rPr>
          <w:color w:val="EE3825"/>
        </w:rPr>
      </w:pPr>
      <w:r>
        <w:rPr>
          <w:color w:val="EE3825"/>
        </w:rPr>
        <w:t>Mid Ulster District Council </w:t>
      </w:r>
      <w:r>
        <w:rPr>
          <w:color w:val="EE3825"/>
          <w:spacing w:val="-3"/>
        </w:rPr>
        <w:t>Validation</w:t>
      </w:r>
      <w:r>
        <w:rPr>
          <w:color w:val="EE3825"/>
          <w:spacing w:val="-11"/>
        </w:rPr>
        <w:t> </w:t>
      </w:r>
      <w:r>
        <w:rPr>
          <w:color w:val="EE3825"/>
          <w:spacing w:val="-3"/>
        </w:rPr>
        <w:t>Requirements</w:t>
      </w:r>
    </w:p>
    <w:p>
      <w:pPr>
        <w:pStyle w:val="ListParagraph"/>
        <w:numPr>
          <w:ilvl w:val="1"/>
          <w:numId w:val="2"/>
        </w:numPr>
        <w:tabs>
          <w:tab w:pos="1556" w:val="left" w:leader="none"/>
          <w:tab w:pos="1557" w:val="left" w:leader="none"/>
        </w:tabs>
        <w:spacing w:line="249" w:lineRule="auto" w:before="106" w:after="0"/>
        <w:ind w:left="836" w:right="150" w:firstLine="0"/>
        <w:jc w:val="left"/>
        <w:rPr>
          <w:sz w:val="22"/>
        </w:rPr>
      </w:pPr>
      <w:r>
        <w:rPr>
          <w:sz w:val="22"/>
        </w:rPr>
        <w:t>The Planning (General Development Procedure) Order (Northern Ireland) 2015 sets out the minimum information that must be submitted with a planning application to</w:t>
      </w:r>
      <w:r>
        <w:rPr>
          <w:spacing w:val="-30"/>
          <w:sz w:val="22"/>
        </w:rPr>
        <w:t> </w:t>
      </w:r>
      <w:r>
        <w:rPr>
          <w:sz w:val="22"/>
        </w:rPr>
        <w:t>make</w:t>
      </w:r>
    </w:p>
    <w:p>
      <w:pPr>
        <w:pStyle w:val="BodyText"/>
        <w:spacing w:line="259" w:lineRule="auto" w:before="2"/>
        <w:ind w:left="836" w:right="135"/>
      </w:pPr>
      <w:r>
        <w:rPr/>
        <w:t>it valid. If this information is not submitted the Planning Department cannot process a planning application. This information can be found in detail at “Part 1 Basic Requirements” of this Direction.</w:t>
      </w:r>
    </w:p>
    <w:p>
      <w:pPr>
        <w:pStyle w:val="BodyText"/>
        <w:spacing w:before="4"/>
        <w:rPr>
          <w:sz w:val="23"/>
        </w:rPr>
      </w:pPr>
    </w:p>
    <w:p>
      <w:pPr>
        <w:pStyle w:val="ListParagraph"/>
        <w:numPr>
          <w:ilvl w:val="1"/>
          <w:numId w:val="2"/>
        </w:numPr>
        <w:tabs>
          <w:tab w:pos="1556" w:val="left" w:leader="none"/>
          <w:tab w:pos="1557" w:val="left" w:leader="none"/>
        </w:tabs>
        <w:spacing w:line="254" w:lineRule="auto" w:before="0" w:after="0"/>
        <w:ind w:left="836" w:right="235" w:firstLine="0"/>
        <w:jc w:val="left"/>
        <w:rPr>
          <w:sz w:val="22"/>
        </w:rPr>
      </w:pPr>
      <w:r>
        <w:rPr>
          <w:sz w:val="22"/>
        </w:rPr>
        <w:t>When a planning application is submitted planning officers will review the information to ensure that it includes the minimum mandatory information set by legislation and</w:t>
      </w:r>
      <w:r>
        <w:rPr>
          <w:spacing w:val="-5"/>
          <w:sz w:val="22"/>
        </w:rPr>
        <w:t> </w:t>
      </w:r>
      <w:r>
        <w:rPr>
          <w:sz w:val="22"/>
        </w:rPr>
        <w:t>any</w:t>
      </w:r>
      <w:r>
        <w:rPr>
          <w:spacing w:val="-4"/>
          <w:sz w:val="22"/>
        </w:rPr>
        <w:t> </w:t>
      </w:r>
      <w:r>
        <w:rPr>
          <w:sz w:val="22"/>
        </w:rPr>
        <w:t>additional</w:t>
      </w:r>
      <w:r>
        <w:rPr>
          <w:spacing w:val="-4"/>
          <w:sz w:val="22"/>
        </w:rPr>
        <w:t> </w:t>
      </w:r>
      <w:r>
        <w:rPr>
          <w:sz w:val="22"/>
        </w:rPr>
        <w:t>information</w:t>
      </w:r>
      <w:r>
        <w:rPr>
          <w:spacing w:val="-4"/>
          <w:sz w:val="22"/>
        </w:rPr>
        <w:t> </w:t>
      </w:r>
      <w:r>
        <w:rPr>
          <w:sz w:val="22"/>
        </w:rPr>
        <w:t>as</w:t>
      </w:r>
      <w:r>
        <w:rPr>
          <w:spacing w:val="-5"/>
          <w:sz w:val="22"/>
        </w:rPr>
        <w:t> </w:t>
      </w:r>
      <w:r>
        <w:rPr>
          <w:sz w:val="22"/>
        </w:rPr>
        <w:t>specified</w:t>
      </w:r>
      <w:r>
        <w:rPr>
          <w:spacing w:val="-3"/>
          <w:sz w:val="22"/>
        </w:rPr>
        <w:t> </w:t>
      </w:r>
      <w:r>
        <w:rPr>
          <w:sz w:val="22"/>
        </w:rPr>
        <w:t>in</w:t>
      </w:r>
      <w:r>
        <w:rPr>
          <w:spacing w:val="-4"/>
          <w:sz w:val="22"/>
        </w:rPr>
        <w:t> </w:t>
      </w:r>
      <w:r>
        <w:rPr>
          <w:sz w:val="22"/>
        </w:rPr>
        <w:t>“Part</w:t>
      </w:r>
      <w:r>
        <w:rPr>
          <w:spacing w:val="-4"/>
          <w:sz w:val="22"/>
        </w:rPr>
        <w:t> </w:t>
      </w:r>
      <w:r>
        <w:rPr>
          <w:sz w:val="22"/>
        </w:rPr>
        <w:t>2</w:t>
      </w:r>
      <w:r>
        <w:rPr>
          <w:spacing w:val="-14"/>
          <w:sz w:val="22"/>
        </w:rPr>
        <w:t> </w:t>
      </w:r>
      <w:r>
        <w:rPr>
          <w:sz w:val="22"/>
        </w:rPr>
        <w:t>Additional</w:t>
      </w:r>
      <w:r>
        <w:rPr>
          <w:spacing w:val="-3"/>
          <w:sz w:val="22"/>
        </w:rPr>
        <w:t> </w:t>
      </w:r>
      <w:r>
        <w:rPr>
          <w:sz w:val="22"/>
        </w:rPr>
        <w:t>Information</w:t>
      </w:r>
      <w:r>
        <w:rPr>
          <w:spacing w:val="-4"/>
          <w:sz w:val="22"/>
        </w:rPr>
        <w:t> </w:t>
      </w:r>
      <w:r>
        <w:rPr>
          <w:sz w:val="22"/>
        </w:rPr>
        <w:t>Requirements” of this Direction. A planning application cannot be processed by the Planning Department until it is valid, and the Planning Application </w:t>
      </w:r>
      <w:r>
        <w:rPr>
          <w:spacing w:val="-3"/>
          <w:sz w:val="22"/>
        </w:rPr>
        <w:t>Validation </w:t>
      </w:r>
      <w:r>
        <w:rPr>
          <w:sz w:val="22"/>
        </w:rPr>
        <w:t>Checklist will assist to ensure an application is valid upon</w:t>
      </w:r>
      <w:r>
        <w:rPr>
          <w:spacing w:val="-4"/>
          <w:sz w:val="22"/>
        </w:rPr>
        <w:t> </w:t>
      </w:r>
      <w:r>
        <w:rPr>
          <w:sz w:val="22"/>
        </w:rPr>
        <w:t>submission.</w:t>
      </w:r>
    </w:p>
    <w:p>
      <w:pPr>
        <w:pStyle w:val="BodyText"/>
        <w:rPr>
          <w:sz w:val="20"/>
        </w:rPr>
      </w:pPr>
    </w:p>
    <w:p>
      <w:pPr>
        <w:pStyle w:val="BodyText"/>
        <w:spacing w:before="4"/>
        <w:rPr>
          <w:sz w:val="21"/>
        </w:rPr>
      </w:pPr>
    </w:p>
    <w:p>
      <w:pPr>
        <w:pStyle w:val="Heading1"/>
        <w:numPr>
          <w:ilvl w:val="1"/>
          <w:numId w:val="3"/>
        </w:numPr>
        <w:tabs>
          <w:tab w:pos="887" w:val="left" w:leader="none"/>
          <w:tab w:pos="888" w:val="left" w:leader="none"/>
        </w:tabs>
        <w:spacing w:line="240" w:lineRule="auto" w:before="130" w:after="0"/>
        <w:ind w:left="887" w:right="0" w:hanging="775"/>
        <w:jc w:val="left"/>
        <w:rPr>
          <w:color w:val="EE3825"/>
        </w:rPr>
      </w:pPr>
      <w:r>
        <w:rPr>
          <w:color w:val="EE3825"/>
          <w:spacing w:val="-2"/>
        </w:rPr>
        <w:t>Notice </w:t>
      </w:r>
      <w:r>
        <w:rPr>
          <w:color w:val="EE3825"/>
        </w:rPr>
        <w:t>of</w:t>
      </w:r>
      <w:r>
        <w:rPr>
          <w:color w:val="EE3825"/>
          <w:spacing w:val="3"/>
        </w:rPr>
        <w:t> </w:t>
      </w:r>
      <w:r>
        <w:rPr>
          <w:color w:val="EE3825"/>
        </w:rPr>
        <w:t>Non-Compliance</w:t>
      </w:r>
    </w:p>
    <w:p>
      <w:pPr>
        <w:pStyle w:val="ListParagraph"/>
        <w:numPr>
          <w:ilvl w:val="1"/>
          <w:numId w:val="3"/>
        </w:numPr>
        <w:tabs>
          <w:tab w:pos="1556" w:val="left" w:leader="none"/>
          <w:tab w:pos="1557" w:val="left" w:leader="none"/>
        </w:tabs>
        <w:spacing w:line="249" w:lineRule="auto" w:before="225" w:after="0"/>
        <w:ind w:left="836" w:right="185" w:firstLine="0"/>
        <w:jc w:val="left"/>
        <w:rPr>
          <w:sz w:val="22"/>
        </w:rPr>
      </w:pPr>
      <w:r>
        <w:rPr>
          <w:sz w:val="22"/>
        </w:rPr>
        <w:t>Should the Planning Department consider that further clarification is required on the detail of the submitted information at validation stage we will write to inform you. </w:t>
      </w:r>
      <w:r>
        <w:rPr>
          <w:spacing w:val="-8"/>
          <w:sz w:val="22"/>
        </w:rPr>
        <w:t>You </w:t>
      </w:r>
      <w:r>
        <w:rPr>
          <w:sz w:val="22"/>
        </w:rPr>
        <w:t>will be given 10 working days from the date of notification to</w:t>
      </w:r>
      <w:r>
        <w:rPr>
          <w:spacing w:val="-15"/>
          <w:sz w:val="22"/>
        </w:rPr>
        <w:t> </w:t>
      </w:r>
      <w:r>
        <w:rPr>
          <w:sz w:val="22"/>
        </w:rPr>
        <w:t>respond.</w:t>
      </w:r>
    </w:p>
    <w:p>
      <w:pPr>
        <w:pStyle w:val="BodyText"/>
        <w:spacing w:before="2"/>
        <w:rPr>
          <w:sz w:val="23"/>
        </w:rPr>
      </w:pPr>
    </w:p>
    <w:p>
      <w:pPr>
        <w:pStyle w:val="ListParagraph"/>
        <w:numPr>
          <w:ilvl w:val="1"/>
          <w:numId w:val="3"/>
        </w:numPr>
        <w:tabs>
          <w:tab w:pos="1556" w:val="left" w:leader="none"/>
          <w:tab w:pos="1557" w:val="left" w:leader="none"/>
        </w:tabs>
        <w:spacing w:line="249" w:lineRule="auto" w:before="1" w:after="0"/>
        <w:ind w:left="836" w:right="468" w:firstLine="0"/>
        <w:jc w:val="left"/>
        <w:rPr>
          <w:sz w:val="22"/>
        </w:rPr>
      </w:pPr>
      <w:r>
        <w:rPr>
          <w:sz w:val="22"/>
        </w:rPr>
        <w:t>If, at the end of this period, all the requested information is not submitted a notice will be provided stating that the application is not in compliance with this Direction and therefore the application is not valid. The notice will identify the requirements and explain why the application does not comply with the validation requirements. In</w:t>
      </w:r>
      <w:r>
        <w:rPr>
          <w:spacing w:val="-25"/>
          <w:sz w:val="22"/>
        </w:rPr>
        <w:t> </w:t>
      </w:r>
      <w:r>
        <w:rPr>
          <w:sz w:val="22"/>
        </w:rPr>
        <w:t>such</w:t>
      </w:r>
    </w:p>
    <w:p>
      <w:pPr>
        <w:pStyle w:val="BodyText"/>
        <w:spacing w:line="249" w:lineRule="auto" w:before="3"/>
        <w:ind w:left="836" w:right="135"/>
      </w:pPr>
      <w:r>
        <w:rPr/>
        <w:t>circumstances the application, associated information and fee will be returned together with the requisite statutory notice.</w:t>
      </w:r>
    </w:p>
    <w:p>
      <w:pPr>
        <w:pStyle w:val="BodyText"/>
        <w:spacing w:before="3"/>
        <w:rPr>
          <w:sz w:val="26"/>
        </w:rPr>
      </w:pPr>
    </w:p>
    <w:p>
      <w:pPr>
        <w:pStyle w:val="ListParagraph"/>
        <w:numPr>
          <w:ilvl w:val="1"/>
          <w:numId w:val="3"/>
        </w:numPr>
        <w:tabs>
          <w:tab w:pos="1801" w:val="left" w:leader="none"/>
          <w:tab w:pos="1802" w:val="left" w:leader="none"/>
        </w:tabs>
        <w:spacing w:line="249" w:lineRule="auto" w:before="0" w:after="0"/>
        <w:ind w:left="836" w:right="162" w:firstLine="0"/>
        <w:jc w:val="left"/>
        <w:rPr>
          <w:sz w:val="22"/>
        </w:rPr>
      </w:pPr>
      <w:r>
        <w:rPr>
          <w:sz w:val="22"/>
        </w:rPr>
        <w:t>If an application is not accompanied by the </w:t>
      </w:r>
      <w:r>
        <w:rPr>
          <w:spacing w:val="-3"/>
          <w:sz w:val="22"/>
        </w:rPr>
        <w:t>Validation </w:t>
      </w:r>
      <w:r>
        <w:rPr>
          <w:sz w:val="22"/>
        </w:rPr>
        <w:t>Checklist requirements in Part 2 of this document, a written justification must be included with the reasons why you do not consider the information is necessary for the planning application. The Planning Department will consider the justification and if it is satisfied the application will be registered as valid. If the Planning Department is not satisfied, the application will be made invalid, and a written explanation will be provided in a notice confirming non-compliance with this direction. In such circumstances the application, associated information and fee will be returned together with the requisite statutory</w:t>
      </w:r>
      <w:r>
        <w:rPr>
          <w:spacing w:val="-5"/>
          <w:sz w:val="22"/>
        </w:rPr>
        <w:t> </w:t>
      </w:r>
      <w:r>
        <w:rPr>
          <w:sz w:val="22"/>
        </w:rPr>
        <w:t>notice.</w:t>
      </w:r>
    </w:p>
    <w:p>
      <w:pPr>
        <w:spacing w:after="0" w:line="249" w:lineRule="auto"/>
        <w:jc w:val="left"/>
        <w:rPr>
          <w:sz w:val="22"/>
        </w:rPr>
        <w:sectPr>
          <w:footerReference w:type="default" r:id="rId9"/>
          <w:pgSz w:w="11910" w:h="16840"/>
          <w:pgMar w:footer="668" w:header="0" w:top="940" w:bottom="860" w:left="1020" w:right="1020"/>
          <w:pgNumType w:start="2"/>
        </w:sectPr>
      </w:pPr>
    </w:p>
    <w:p>
      <w:pPr>
        <w:pStyle w:val="Heading1"/>
        <w:numPr>
          <w:ilvl w:val="1"/>
          <w:numId w:val="4"/>
        </w:numPr>
        <w:tabs>
          <w:tab w:pos="833" w:val="left" w:leader="none"/>
          <w:tab w:pos="834" w:val="left" w:leader="none"/>
        </w:tabs>
        <w:spacing w:line="240" w:lineRule="auto" w:before="112" w:after="0"/>
        <w:ind w:left="833" w:right="0" w:hanging="721"/>
        <w:jc w:val="left"/>
        <w:rPr>
          <w:color w:val="EE3825"/>
        </w:rPr>
      </w:pPr>
      <w:r>
        <w:rPr>
          <w:color w:val="EE3825"/>
        </w:rPr>
        <w:t>Appealing Against a </w:t>
      </w:r>
      <w:r>
        <w:rPr>
          <w:color w:val="EE3825"/>
          <w:spacing w:val="-2"/>
        </w:rPr>
        <w:t>Notice </w:t>
      </w:r>
      <w:r>
        <w:rPr>
          <w:color w:val="EE3825"/>
        </w:rPr>
        <w:t>of Non-Compliance</w:t>
      </w:r>
    </w:p>
    <w:p>
      <w:pPr>
        <w:pStyle w:val="BodyText"/>
        <w:spacing w:before="3"/>
        <w:rPr>
          <w:rFonts w:ascii="Bommer Slab"/>
          <w:b/>
          <w:sz w:val="25"/>
        </w:rPr>
      </w:pPr>
    </w:p>
    <w:p>
      <w:pPr>
        <w:pStyle w:val="ListParagraph"/>
        <w:numPr>
          <w:ilvl w:val="1"/>
          <w:numId w:val="4"/>
        </w:numPr>
        <w:tabs>
          <w:tab w:pos="1764" w:val="left" w:leader="none"/>
          <w:tab w:pos="1765" w:val="left" w:leader="none"/>
        </w:tabs>
        <w:spacing w:line="249" w:lineRule="auto" w:before="93" w:after="0"/>
        <w:ind w:left="921" w:right="494" w:firstLine="0"/>
        <w:jc w:val="left"/>
        <w:rPr>
          <w:sz w:val="22"/>
        </w:rPr>
      </w:pPr>
      <w:r>
        <w:rPr>
          <w:sz w:val="22"/>
        </w:rPr>
        <w:t>In the circumstances set out above where a notice of non-compliance with this Direction is issued, an applicant may appeal to the Planning Appeals Commission. An appeal must be made within 14 days of the date of the</w:t>
      </w:r>
      <w:r>
        <w:rPr>
          <w:spacing w:val="-15"/>
          <w:sz w:val="22"/>
        </w:rPr>
        <w:t> </w:t>
      </w:r>
      <w:r>
        <w:rPr>
          <w:sz w:val="22"/>
        </w:rPr>
        <w:t>notice.</w:t>
      </w:r>
    </w:p>
    <w:p>
      <w:pPr>
        <w:pStyle w:val="BodyText"/>
        <w:spacing w:before="2"/>
        <w:rPr>
          <w:sz w:val="23"/>
        </w:rPr>
      </w:pPr>
    </w:p>
    <w:p>
      <w:pPr>
        <w:pStyle w:val="ListParagraph"/>
        <w:numPr>
          <w:ilvl w:val="1"/>
          <w:numId w:val="4"/>
        </w:numPr>
        <w:tabs>
          <w:tab w:pos="1764" w:val="left" w:leader="none"/>
          <w:tab w:pos="1765" w:val="left" w:leader="none"/>
        </w:tabs>
        <w:spacing w:line="249" w:lineRule="auto" w:before="0" w:after="0"/>
        <w:ind w:left="921" w:right="243" w:firstLine="0"/>
        <w:jc w:val="left"/>
        <w:rPr>
          <w:sz w:val="22"/>
        </w:rPr>
      </w:pPr>
      <w:r>
        <w:rPr>
          <w:sz w:val="22"/>
        </w:rPr>
        <w:t>In its decision on appeal against non-validation, the Planning Appeals Commission will consider only the matter of ‘validation’ and following consideration on</w:t>
      </w:r>
      <w:r>
        <w:rPr>
          <w:spacing w:val="-43"/>
          <w:sz w:val="22"/>
        </w:rPr>
        <w:t> </w:t>
      </w:r>
      <w:r>
        <w:rPr>
          <w:sz w:val="22"/>
        </w:rPr>
        <w:t>the matter, has the power to either allow or dismiss the appeal; or vary the notice issued by the Council. The decision of the Planning Appeals Commission will be</w:t>
      </w:r>
      <w:r>
        <w:rPr>
          <w:spacing w:val="-31"/>
          <w:sz w:val="22"/>
        </w:rPr>
        <w:t> </w:t>
      </w:r>
      <w:r>
        <w:rPr>
          <w:sz w:val="22"/>
        </w:rPr>
        <w:t>final.</w:t>
      </w:r>
    </w:p>
    <w:p>
      <w:pPr>
        <w:pStyle w:val="BodyText"/>
        <w:spacing w:before="3"/>
        <w:rPr>
          <w:sz w:val="23"/>
        </w:rPr>
      </w:pPr>
    </w:p>
    <w:p>
      <w:pPr>
        <w:pStyle w:val="ListParagraph"/>
        <w:numPr>
          <w:ilvl w:val="1"/>
          <w:numId w:val="4"/>
        </w:numPr>
        <w:tabs>
          <w:tab w:pos="1764" w:val="left" w:leader="none"/>
          <w:tab w:pos="1765" w:val="left" w:leader="none"/>
        </w:tabs>
        <w:spacing w:line="249" w:lineRule="auto" w:before="1" w:after="0"/>
        <w:ind w:left="921" w:right="444" w:firstLine="0"/>
        <w:jc w:val="left"/>
        <w:rPr>
          <w:sz w:val="22"/>
        </w:rPr>
      </w:pPr>
      <w:r>
        <w:rPr>
          <w:sz w:val="22"/>
        </w:rPr>
        <w:t>If the appeal is allowed, then the information previously sought by the Planning Department does not need to be submitted when making a new</w:t>
      </w:r>
      <w:r>
        <w:rPr>
          <w:spacing w:val="-21"/>
          <w:sz w:val="22"/>
        </w:rPr>
        <w:t> </w:t>
      </w:r>
      <w:r>
        <w:rPr>
          <w:sz w:val="22"/>
        </w:rPr>
        <w:t>application.</w:t>
      </w:r>
    </w:p>
    <w:p>
      <w:pPr>
        <w:pStyle w:val="BodyText"/>
        <w:spacing w:before="1"/>
        <w:rPr>
          <w:sz w:val="23"/>
        </w:rPr>
      </w:pPr>
    </w:p>
    <w:p>
      <w:pPr>
        <w:pStyle w:val="ListParagraph"/>
        <w:numPr>
          <w:ilvl w:val="1"/>
          <w:numId w:val="4"/>
        </w:numPr>
        <w:tabs>
          <w:tab w:pos="1764" w:val="left" w:leader="none"/>
          <w:tab w:pos="1765" w:val="left" w:leader="none"/>
        </w:tabs>
        <w:spacing w:line="249" w:lineRule="auto" w:before="0" w:after="0"/>
        <w:ind w:left="921" w:right="168" w:firstLine="0"/>
        <w:jc w:val="left"/>
        <w:rPr>
          <w:sz w:val="22"/>
        </w:rPr>
      </w:pPr>
      <w:r>
        <w:rPr>
          <w:sz w:val="22"/>
        </w:rPr>
        <w:t>If the appeal is dismissed in its </w:t>
      </w:r>
      <w:r>
        <w:rPr>
          <w:spacing w:val="-3"/>
          <w:sz w:val="22"/>
        </w:rPr>
        <w:t>entirety, </w:t>
      </w:r>
      <w:r>
        <w:rPr>
          <w:sz w:val="22"/>
        </w:rPr>
        <w:t>or the notice is varied the appellant, when making a new application to the Planning Department should do so taking account of the decision of the Planning Appeals</w:t>
      </w:r>
      <w:r>
        <w:rPr>
          <w:spacing w:val="-16"/>
          <w:sz w:val="22"/>
        </w:rPr>
        <w:t> </w:t>
      </w:r>
      <w:r>
        <w:rPr>
          <w:sz w:val="22"/>
        </w:rPr>
        <w:t>Commission.</w:t>
      </w:r>
    </w:p>
    <w:p>
      <w:pPr>
        <w:pStyle w:val="BodyText"/>
        <w:spacing w:before="2"/>
        <w:rPr>
          <w:sz w:val="23"/>
        </w:rPr>
      </w:pPr>
    </w:p>
    <w:p>
      <w:pPr>
        <w:pStyle w:val="ListParagraph"/>
        <w:numPr>
          <w:ilvl w:val="1"/>
          <w:numId w:val="4"/>
        </w:numPr>
        <w:tabs>
          <w:tab w:pos="1641" w:val="left" w:leader="none"/>
          <w:tab w:pos="1642" w:val="left" w:leader="none"/>
        </w:tabs>
        <w:spacing w:line="249" w:lineRule="auto" w:before="0" w:after="0"/>
        <w:ind w:left="921" w:right="740" w:firstLine="0"/>
        <w:jc w:val="left"/>
        <w:rPr>
          <w:sz w:val="22"/>
        </w:rPr>
      </w:pPr>
      <w:r>
        <w:rPr>
          <w:sz w:val="22"/>
        </w:rPr>
        <w:t>In all cases, the decision of the Planning Appeals Commission should be submitted, together with any new application, to aid the validation process. The new application, submitted to the Planning Department, will be validated</w:t>
      </w:r>
      <w:r>
        <w:rPr>
          <w:spacing w:val="-12"/>
          <w:sz w:val="22"/>
        </w:rPr>
        <w:t> </w:t>
      </w:r>
      <w:r>
        <w:rPr>
          <w:spacing w:val="-3"/>
          <w:sz w:val="22"/>
        </w:rPr>
        <w:t>accordingly.</w:t>
      </w:r>
    </w:p>
    <w:p>
      <w:pPr>
        <w:spacing w:after="0" w:line="249" w:lineRule="auto"/>
        <w:jc w:val="left"/>
        <w:rPr>
          <w:sz w:val="22"/>
        </w:rPr>
        <w:sectPr>
          <w:pgSz w:w="11910" w:h="16840"/>
          <w:pgMar w:header="0" w:footer="668" w:top="960" w:bottom="1060" w:left="1020" w:right="1020"/>
        </w:sectPr>
      </w:pPr>
    </w:p>
    <w:p>
      <w:pPr>
        <w:pStyle w:val="Heading1"/>
        <w:spacing w:before="111"/>
        <w:ind w:left="112"/>
      </w:pPr>
      <w:r>
        <w:rPr>
          <w:color w:val="EE3825"/>
        </w:rPr>
        <w:t>Part 1 – Basic Requirements</w:t>
      </w:r>
    </w:p>
    <w:p>
      <w:pPr>
        <w:pStyle w:val="BodyText"/>
        <w:spacing w:line="266" w:lineRule="auto" w:before="276"/>
        <w:ind w:left="112"/>
      </w:pPr>
      <w:r>
        <w:rPr/>
        <w:t>Basic information required under The Planning (General Development Procedure) Order (NI) 2015 according to the type of application.</w:t>
      </w:r>
    </w:p>
    <w:p>
      <w:pPr>
        <w:pStyle w:val="BodyText"/>
        <w:spacing w:before="8"/>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55"/>
        <w:gridCol w:w="7062"/>
      </w:tblGrid>
      <w:tr>
        <w:trPr>
          <w:trHeight w:val="423" w:hRule="atLeast"/>
        </w:trPr>
        <w:tc>
          <w:tcPr>
            <w:tcW w:w="2555" w:type="dxa"/>
            <w:shd w:val="clear" w:color="auto" w:fill="EE3124"/>
          </w:tcPr>
          <w:p>
            <w:pPr>
              <w:pStyle w:val="TableParagraph"/>
              <w:spacing w:before="19"/>
              <w:ind w:left="80"/>
              <w:rPr>
                <w:b/>
                <w:sz w:val="24"/>
              </w:rPr>
            </w:pPr>
            <w:r>
              <w:rPr>
                <w:b/>
                <w:color w:val="FFFFFF"/>
                <w:sz w:val="24"/>
              </w:rPr>
              <w:t>Application</w:t>
            </w:r>
            <w:r>
              <w:rPr>
                <w:b/>
                <w:color w:val="FFFFFF"/>
                <w:spacing w:val="64"/>
                <w:sz w:val="24"/>
              </w:rPr>
              <w:t> </w:t>
            </w:r>
            <w:r>
              <w:rPr>
                <w:b/>
                <w:color w:val="FFFFFF"/>
                <w:spacing w:val="-6"/>
                <w:sz w:val="24"/>
              </w:rPr>
              <w:t>Type</w:t>
            </w:r>
          </w:p>
        </w:tc>
        <w:tc>
          <w:tcPr>
            <w:tcW w:w="7062" w:type="dxa"/>
            <w:shd w:val="clear" w:color="auto" w:fill="EE3124"/>
          </w:tcPr>
          <w:p>
            <w:pPr>
              <w:pStyle w:val="TableParagraph"/>
              <w:spacing w:before="19"/>
              <w:ind w:left="80"/>
              <w:rPr>
                <w:b/>
                <w:sz w:val="24"/>
              </w:rPr>
            </w:pPr>
            <w:r>
              <w:rPr>
                <w:b/>
                <w:color w:val="FFFFFF"/>
                <w:sz w:val="24"/>
              </w:rPr>
              <w:t>Information Required</w:t>
            </w:r>
          </w:p>
        </w:tc>
      </w:tr>
      <w:tr>
        <w:trPr>
          <w:trHeight w:val="1620" w:hRule="atLeast"/>
        </w:trPr>
        <w:tc>
          <w:tcPr>
            <w:tcW w:w="2555" w:type="dxa"/>
            <w:shd w:val="clear" w:color="auto" w:fill="E2DDD9"/>
          </w:tcPr>
          <w:p>
            <w:pPr>
              <w:pStyle w:val="TableParagraph"/>
              <w:spacing w:before="24"/>
              <w:ind w:left="80"/>
              <w:rPr>
                <w:sz w:val="22"/>
              </w:rPr>
            </w:pPr>
            <w:r>
              <w:rPr>
                <w:sz w:val="22"/>
              </w:rPr>
              <w:t>Advertisement Consent</w:t>
            </w:r>
          </w:p>
        </w:tc>
        <w:tc>
          <w:tcPr>
            <w:tcW w:w="7062" w:type="dxa"/>
          </w:tcPr>
          <w:p>
            <w:pPr>
              <w:pStyle w:val="TableParagraph"/>
              <w:numPr>
                <w:ilvl w:val="0"/>
                <w:numId w:val="5"/>
              </w:numPr>
              <w:tabs>
                <w:tab w:pos="440" w:val="left" w:leader="none"/>
                <w:tab w:pos="441" w:val="left" w:leader="none"/>
              </w:tabs>
              <w:spacing w:line="240" w:lineRule="auto" w:before="24" w:after="0"/>
              <w:ind w:left="440" w:right="0" w:hanging="361"/>
              <w:jc w:val="left"/>
              <w:rPr>
                <w:sz w:val="22"/>
              </w:rPr>
            </w:pPr>
            <w:r>
              <w:rPr>
                <w:sz w:val="22"/>
              </w:rPr>
              <w:t>Signed application</w:t>
            </w:r>
            <w:r>
              <w:rPr>
                <w:spacing w:val="-2"/>
                <w:sz w:val="22"/>
              </w:rPr>
              <w:t> </w:t>
            </w:r>
            <w:r>
              <w:rPr>
                <w:sz w:val="22"/>
              </w:rPr>
              <w:t>form</w:t>
            </w:r>
          </w:p>
          <w:p>
            <w:pPr>
              <w:pStyle w:val="TableParagraph"/>
              <w:numPr>
                <w:ilvl w:val="0"/>
                <w:numId w:val="5"/>
              </w:numPr>
              <w:tabs>
                <w:tab w:pos="440" w:val="left" w:leader="none"/>
                <w:tab w:pos="441" w:val="left" w:leader="none"/>
              </w:tabs>
              <w:spacing w:line="249" w:lineRule="auto" w:before="11" w:after="0"/>
              <w:ind w:left="440" w:right="56" w:hanging="360"/>
              <w:jc w:val="left"/>
              <w:rPr>
                <w:sz w:val="22"/>
              </w:rPr>
            </w:pPr>
            <w:r>
              <w:rPr>
                <w:sz w:val="22"/>
              </w:rPr>
              <w:t>The correct fee in accordance with the current The Planning (Fees) (Amendment) Regulations (Northern</w:t>
            </w:r>
            <w:r>
              <w:rPr>
                <w:spacing w:val="-2"/>
                <w:sz w:val="22"/>
              </w:rPr>
              <w:t> </w:t>
            </w:r>
            <w:r>
              <w:rPr>
                <w:sz w:val="22"/>
              </w:rPr>
              <w:t>Ireland)</w:t>
            </w:r>
          </w:p>
          <w:p>
            <w:pPr>
              <w:pStyle w:val="TableParagraph"/>
              <w:numPr>
                <w:ilvl w:val="0"/>
                <w:numId w:val="5"/>
              </w:numPr>
              <w:tabs>
                <w:tab w:pos="440" w:val="left" w:leader="none"/>
                <w:tab w:pos="441" w:val="left" w:leader="none"/>
              </w:tabs>
              <w:spacing w:line="240" w:lineRule="auto" w:before="1" w:after="0"/>
              <w:ind w:left="440" w:right="0" w:hanging="361"/>
              <w:jc w:val="left"/>
              <w:rPr>
                <w:sz w:val="22"/>
              </w:rPr>
            </w:pPr>
            <w:r>
              <w:rPr>
                <w:sz w:val="22"/>
              </w:rPr>
              <w:t>Site Location</w:t>
            </w:r>
            <w:r>
              <w:rPr>
                <w:spacing w:val="-2"/>
                <w:sz w:val="22"/>
              </w:rPr>
              <w:t> </w:t>
            </w:r>
            <w:r>
              <w:rPr>
                <w:sz w:val="22"/>
              </w:rPr>
              <w:t>Plan</w:t>
            </w:r>
          </w:p>
          <w:p>
            <w:pPr>
              <w:pStyle w:val="TableParagraph"/>
              <w:numPr>
                <w:ilvl w:val="0"/>
                <w:numId w:val="5"/>
              </w:numPr>
              <w:tabs>
                <w:tab w:pos="440" w:val="left" w:leader="none"/>
                <w:tab w:pos="441" w:val="left" w:leader="none"/>
              </w:tabs>
              <w:spacing w:line="240" w:lineRule="auto" w:before="11" w:after="0"/>
              <w:ind w:left="440" w:right="0" w:hanging="361"/>
              <w:jc w:val="left"/>
              <w:rPr>
                <w:sz w:val="22"/>
              </w:rPr>
            </w:pPr>
            <w:r>
              <w:rPr>
                <w:sz w:val="22"/>
              </w:rPr>
              <w:t>Plans and</w:t>
            </w:r>
            <w:r>
              <w:rPr>
                <w:spacing w:val="-2"/>
                <w:sz w:val="22"/>
              </w:rPr>
              <w:t> </w:t>
            </w:r>
            <w:r>
              <w:rPr>
                <w:sz w:val="22"/>
              </w:rPr>
              <w:t>drawings</w:t>
            </w:r>
          </w:p>
        </w:tc>
      </w:tr>
      <w:tr>
        <w:trPr>
          <w:trHeight w:val="1356" w:hRule="atLeast"/>
        </w:trPr>
        <w:tc>
          <w:tcPr>
            <w:tcW w:w="2555" w:type="dxa"/>
            <w:shd w:val="clear" w:color="auto" w:fill="E2DDD9"/>
          </w:tcPr>
          <w:p>
            <w:pPr>
              <w:pStyle w:val="TableParagraph"/>
              <w:spacing w:line="249" w:lineRule="auto" w:before="23"/>
              <w:ind w:left="79" w:right="320"/>
              <w:rPr>
                <w:sz w:val="22"/>
              </w:rPr>
            </w:pPr>
            <w:r>
              <w:rPr>
                <w:sz w:val="22"/>
              </w:rPr>
              <w:t>Approval of Reserved Matters</w:t>
            </w:r>
          </w:p>
        </w:tc>
        <w:tc>
          <w:tcPr>
            <w:tcW w:w="7062" w:type="dxa"/>
          </w:tcPr>
          <w:p>
            <w:pPr>
              <w:pStyle w:val="TableParagraph"/>
              <w:numPr>
                <w:ilvl w:val="0"/>
                <w:numId w:val="6"/>
              </w:numPr>
              <w:tabs>
                <w:tab w:pos="439" w:val="left" w:leader="none"/>
                <w:tab w:pos="440" w:val="left" w:leader="none"/>
              </w:tabs>
              <w:spacing w:line="240" w:lineRule="auto" w:before="23" w:after="0"/>
              <w:ind w:left="440" w:right="0" w:hanging="360"/>
              <w:jc w:val="left"/>
              <w:rPr>
                <w:sz w:val="22"/>
              </w:rPr>
            </w:pPr>
            <w:r>
              <w:rPr>
                <w:sz w:val="22"/>
              </w:rPr>
              <w:t>Signed application</w:t>
            </w:r>
            <w:r>
              <w:rPr>
                <w:spacing w:val="-2"/>
                <w:sz w:val="22"/>
              </w:rPr>
              <w:t> </w:t>
            </w:r>
            <w:r>
              <w:rPr>
                <w:sz w:val="22"/>
              </w:rPr>
              <w:t>form</w:t>
            </w:r>
          </w:p>
          <w:p>
            <w:pPr>
              <w:pStyle w:val="TableParagraph"/>
              <w:numPr>
                <w:ilvl w:val="0"/>
                <w:numId w:val="6"/>
              </w:numPr>
              <w:tabs>
                <w:tab w:pos="439" w:val="left" w:leader="none"/>
                <w:tab w:pos="440" w:val="left" w:leader="none"/>
              </w:tabs>
              <w:spacing w:line="249" w:lineRule="auto" w:before="11" w:after="0"/>
              <w:ind w:left="439" w:right="57" w:hanging="360"/>
              <w:jc w:val="left"/>
              <w:rPr>
                <w:sz w:val="22"/>
              </w:rPr>
            </w:pPr>
            <w:r>
              <w:rPr>
                <w:sz w:val="22"/>
              </w:rPr>
              <w:t>The correct fee in accordance with the current The Planning (Fees) (Amendment) Regulations (Northern</w:t>
            </w:r>
            <w:r>
              <w:rPr>
                <w:spacing w:val="-2"/>
                <w:sz w:val="22"/>
              </w:rPr>
              <w:t> </w:t>
            </w:r>
            <w:r>
              <w:rPr>
                <w:sz w:val="22"/>
              </w:rPr>
              <w:t>Ireland)</w:t>
            </w:r>
          </w:p>
          <w:p>
            <w:pPr>
              <w:pStyle w:val="TableParagraph"/>
              <w:numPr>
                <w:ilvl w:val="0"/>
                <w:numId w:val="6"/>
              </w:numPr>
              <w:tabs>
                <w:tab w:pos="439" w:val="left" w:leader="none"/>
                <w:tab w:pos="440" w:val="left" w:leader="none"/>
              </w:tabs>
              <w:spacing w:line="240" w:lineRule="auto" w:before="2" w:after="0"/>
              <w:ind w:left="440" w:right="0" w:hanging="360"/>
              <w:jc w:val="left"/>
              <w:rPr>
                <w:sz w:val="22"/>
              </w:rPr>
            </w:pPr>
            <w:r>
              <w:rPr>
                <w:sz w:val="22"/>
              </w:rPr>
              <w:t>Plans and</w:t>
            </w:r>
            <w:r>
              <w:rPr>
                <w:spacing w:val="-2"/>
                <w:sz w:val="22"/>
              </w:rPr>
              <w:t> </w:t>
            </w:r>
            <w:r>
              <w:rPr>
                <w:sz w:val="22"/>
              </w:rPr>
              <w:t>drawings</w:t>
            </w:r>
          </w:p>
        </w:tc>
      </w:tr>
      <w:tr>
        <w:trPr>
          <w:trHeight w:val="1620" w:hRule="atLeast"/>
        </w:trPr>
        <w:tc>
          <w:tcPr>
            <w:tcW w:w="2555" w:type="dxa"/>
            <w:shd w:val="clear" w:color="auto" w:fill="E2DDD9"/>
          </w:tcPr>
          <w:p>
            <w:pPr>
              <w:pStyle w:val="TableParagraph"/>
              <w:spacing w:line="249" w:lineRule="auto" w:before="23"/>
              <w:ind w:left="79" w:right="259"/>
              <w:rPr>
                <w:sz w:val="22"/>
              </w:rPr>
            </w:pPr>
            <w:r>
              <w:rPr>
                <w:sz w:val="22"/>
              </w:rPr>
              <w:t>Certificate of Lawful Use or Development (Existing or Proposed)</w:t>
            </w:r>
          </w:p>
        </w:tc>
        <w:tc>
          <w:tcPr>
            <w:tcW w:w="7062" w:type="dxa"/>
          </w:tcPr>
          <w:p>
            <w:pPr>
              <w:pStyle w:val="TableParagraph"/>
              <w:numPr>
                <w:ilvl w:val="0"/>
                <w:numId w:val="7"/>
              </w:numPr>
              <w:tabs>
                <w:tab w:pos="439" w:val="left" w:leader="none"/>
                <w:tab w:pos="440" w:val="left" w:leader="none"/>
              </w:tabs>
              <w:spacing w:line="240" w:lineRule="auto" w:before="23" w:after="0"/>
              <w:ind w:left="439" w:right="0" w:hanging="361"/>
              <w:jc w:val="left"/>
              <w:rPr>
                <w:sz w:val="22"/>
              </w:rPr>
            </w:pPr>
            <w:r>
              <w:rPr>
                <w:sz w:val="22"/>
              </w:rPr>
              <w:t>Signed application</w:t>
            </w:r>
            <w:r>
              <w:rPr>
                <w:spacing w:val="-2"/>
                <w:sz w:val="22"/>
              </w:rPr>
              <w:t> </w:t>
            </w:r>
            <w:r>
              <w:rPr>
                <w:sz w:val="22"/>
              </w:rPr>
              <w:t>form</w:t>
            </w:r>
          </w:p>
          <w:p>
            <w:pPr>
              <w:pStyle w:val="TableParagraph"/>
              <w:numPr>
                <w:ilvl w:val="0"/>
                <w:numId w:val="7"/>
              </w:numPr>
              <w:tabs>
                <w:tab w:pos="439" w:val="left" w:leader="none"/>
                <w:tab w:pos="440" w:val="left" w:leader="none"/>
              </w:tabs>
              <w:spacing w:line="249" w:lineRule="auto" w:before="11" w:after="0"/>
              <w:ind w:left="439" w:right="73" w:hanging="360"/>
              <w:jc w:val="left"/>
              <w:rPr>
                <w:sz w:val="22"/>
              </w:rPr>
            </w:pPr>
            <w:r>
              <w:rPr>
                <w:sz w:val="22"/>
              </w:rPr>
              <w:t>The correct fee in accordance with the current The Planning</w:t>
            </w:r>
            <w:r>
              <w:rPr>
                <w:spacing w:val="-20"/>
                <w:sz w:val="22"/>
              </w:rPr>
              <w:t> </w:t>
            </w:r>
            <w:r>
              <w:rPr>
                <w:sz w:val="22"/>
              </w:rPr>
              <w:t>(Fees) (Amendment) Regulations (Northern</w:t>
            </w:r>
            <w:r>
              <w:rPr>
                <w:spacing w:val="-2"/>
                <w:sz w:val="22"/>
              </w:rPr>
              <w:t> </w:t>
            </w:r>
            <w:r>
              <w:rPr>
                <w:sz w:val="22"/>
              </w:rPr>
              <w:t>Ireland)</w:t>
            </w:r>
          </w:p>
          <w:p>
            <w:pPr>
              <w:pStyle w:val="TableParagraph"/>
              <w:numPr>
                <w:ilvl w:val="0"/>
                <w:numId w:val="7"/>
              </w:numPr>
              <w:tabs>
                <w:tab w:pos="439" w:val="left" w:leader="none"/>
                <w:tab w:pos="440" w:val="left" w:leader="none"/>
              </w:tabs>
              <w:spacing w:line="240" w:lineRule="auto" w:before="2" w:after="0"/>
              <w:ind w:left="439" w:right="0" w:hanging="361"/>
              <w:jc w:val="left"/>
              <w:rPr>
                <w:sz w:val="22"/>
              </w:rPr>
            </w:pPr>
            <w:r>
              <w:rPr>
                <w:sz w:val="22"/>
              </w:rPr>
              <w:t>Site Location</w:t>
            </w:r>
            <w:r>
              <w:rPr>
                <w:spacing w:val="-2"/>
                <w:sz w:val="22"/>
              </w:rPr>
              <w:t> </w:t>
            </w:r>
            <w:r>
              <w:rPr>
                <w:sz w:val="22"/>
              </w:rPr>
              <w:t>Plan</w:t>
            </w:r>
          </w:p>
          <w:p>
            <w:pPr>
              <w:pStyle w:val="TableParagraph"/>
              <w:numPr>
                <w:ilvl w:val="0"/>
                <w:numId w:val="7"/>
              </w:numPr>
              <w:tabs>
                <w:tab w:pos="439" w:val="left" w:leader="none"/>
                <w:tab w:pos="440" w:val="left" w:leader="none"/>
              </w:tabs>
              <w:spacing w:line="240" w:lineRule="auto" w:before="11" w:after="0"/>
              <w:ind w:left="439" w:right="0" w:hanging="361"/>
              <w:jc w:val="left"/>
              <w:rPr>
                <w:sz w:val="22"/>
              </w:rPr>
            </w:pPr>
            <w:r>
              <w:rPr>
                <w:sz w:val="22"/>
              </w:rPr>
              <w:t>Plans and</w:t>
            </w:r>
            <w:r>
              <w:rPr>
                <w:spacing w:val="-2"/>
                <w:sz w:val="22"/>
              </w:rPr>
              <w:t> </w:t>
            </w:r>
            <w:r>
              <w:rPr>
                <w:sz w:val="22"/>
              </w:rPr>
              <w:t>drawings</w:t>
            </w:r>
          </w:p>
        </w:tc>
      </w:tr>
      <w:tr>
        <w:trPr>
          <w:trHeight w:val="1092" w:hRule="atLeast"/>
        </w:trPr>
        <w:tc>
          <w:tcPr>
            <w:tcW w:w="2555" w:type="dxa"/>
            <w:shd w:val="clear" w:color="auto" w:fill="E2DDD9"/>
          </w:tcPr>
          <w:p>
            <w:pPr>
              <w:pStyle w:val="TableParagraph"/>
              <w:spacing w:line="249" w:lineRule="auto" w:before="23"/>
              <w:ind w:left="79"/>
              <w:rPr>
                <w:sz w:val="22"/>
              </w:rPr>
            </w:pPr>
            <w:r>
              <w:rPr>
                <w:sz w:val="22"/>
              </w:rPr>
              <w:t>Conservation Area Consent</w:t>
            </w:r>
          </w:p>
        </w:tc>
        <w:tc>
          <w:tcPr>
            <w:tcW w:w="7062" w:type="dxa"/>
          </w:tcPr>
          <w:p>
            <w:pPr>
              <w:pStyle w:val="TableParagraph"/>
              <w:numPr>
                <w:ilvl w:val="0"/>
                <w:numId w:val="8"/>
              </w:numPr>
              <w:tabs>
                <w:tab w:pos="439" w:val="left" w:leader="none"/>
                <w:tab w:pos="440" w:val="left" w:leader="none"/>
              </w:tabs>
              <w:spacing w:line="240" w:lineRule="auto" w:before="23" w:after="0"/>
              <w:ind w:left="439" w:right="0" w:hanging="361"/>
              <w:jc w:val="left"/>
              <w:rPr>
                <w:sz w:val="22"/>
              </w:rPr>
            </w:pPr>
            <w:r>
              <w:rPr>
                <w:sz w:val="22"/>
              </w:rPr>
              <w:t>Signed application</w:t>
            </w:r>
            <w:r>
              <w:rPr>
                <w:spacing w:val="-2"/>
                <w:sz w:val="22"/>
              </w:rPr>
              <w:t> </w:t>
            </w:r>
            <w:r>
              <w:rPr>
                <w:sz w:val="22"/>
              </w:rPr>
              <w:t>form</w:t>
            </w:r>
          </w:p>
          <w:p>
            <w:pPr>
              <w:pStyle w:val="TableParagraph"/>
              <w:numPr>
                <w:ilvl w:val="0"/>
                <w:numId w:val="8"/>
              </w:numPr>
              <w:tabs>
                <w:tab w:pos="439" w:val="left" w:leader="none"/>
                <w:tab w:pos="440" w:val="left" w:leader="none"/>
              </w:tabs>
              <w:spacing w:line="240" w:lineRule="auto" w:before="11" w:after="0"/>
              <w:ind w:left="439" w:right="0" w:hanging="361"/>
              <w:jc w:val="left"/>
              <w:rPr>
                <w:sz w:val="22"/>
              </w:rPr>
            </w:pPr>
            <w:r>
              <w:rPr>
                <w:sz w:val="22"/>
              </w:rPr>
              <w:t>Site Location</w:t>
            </w:r>
            <w:r>
              <w:rPr>
                <w:spacing w:val="-2"/>
                <w:sz w:val="22"/>
              </w:rPr>
              <w:t> </w:t>
            </w:r>
            <w:r>
              <w:rPr>
                <w:sz w:val="22"/>
              </w:rPr>
              <w:t>Plan</w:t>
            </w:r>
          </w:p>
          <w:p>
            <w:pPr>
              <w:pStyle w:val="TableParagraph"/>
              <w:numPr>
                <w:ilvl w:val="0"/>
                <w:numId w:val="8"/>
              </w:numPr>
              <w:tabs>
                <w:tab w:pos="439" w:val="left" w:leader="none"/>
                <w:tab w:pos="440" w:val="left" w:leader="none"/>
              </w:tabs>
              <w:spacing w:line="240" w:lineRule="auto" w:before="11" w:after="0"/>
              <w:ind w:left="439" w:right="0" w:hanging="361"/>
              <w:jc w:val="left"/>
              <w:rPr>
                <w:sz w:val="22"/>
              </w:rPr>
            </w:pPr>
            <w:r>
              <w:rPr>
                <w:sz w:val="22"/>
              </w:rPr>
              <w:t>Plans and</w:t>
            </w:r>
            <w:r>
              <w:rPr>
                <w:spacing w:val="-2"/>
                <w:sz w:val="22"/>
              </w:rPr>
              <w:t> </w:t>
            </w:r>
            <w:r>
              <w:rPr>
                <w:sz w:val="22"/>
              </w:rPr>
              <w:t>drawings</w:t>
            </w:r>
          </w:p>
        </w:tc>
      </w:tr>
      <w:tr>
        <w:trPr>
          <w:trHeight w:val="1356" w:hRule="atLeast"/>
        </w:trPr>
        <w:tc>
          <w:tcPr>
            <w:tcW w:w="2555" w:type="dxa"/>
            <w:shd w:val="clear" w:color="auto" w:fill="E2DDD9"/>
          </w:tcPr>
          <w:p>
            <w:pPr>
              <w:pStyle w:val="TableParagraph"/>
              <w:spacing w:before="23"/>
              <w:ind w:left="79"/>
              <w:rPr>
                <w:sz w:val="22"/>
              </w:rPr>
            </w:pPr>
            <w:r>
              <w:rPr>
                <w:sz w:val="22"/>
              </w:rPr>
              <w:t>Discharge of Condition</w:t>
            </w:r>
          </w:p>
        </w:tc>
        <w:tc>
          <w:tcPr>
            <w:tcW w:w="7062" w:type="dxa"/>
          </w:tcPr>
          <w:p>
            <w:pPr>
              <w:pStyle w:val="TableParagraph"/>
              <w:numPr>
                <w:ilvl w:val="0"/>
                <w:numId w:val="9"/>
              </w:numPr>
              <w:tabs>
                <w:tab w:pos="439" w:val="left" w:leader="none"/>
                <w:tab w:pos="440" w:val="left" w:leader="none"/>
              </w:tabs>
              <w:spacing w:line="249" w:lineRule="auto" w:before="23" w:after="0"/>
              <w:ind w:left="439" w:right="609" w:hanging="360"/>
              <w:jc w:val="left"/>
              <w:rPr>
                <w:sz w:val="22"/>
              </w:rPr>
            </w:pPr>
            <w:r>
              <w:rPr>
                <w:sz w:val="22"/>
              </w:rPr>
              <w:t>A statement which must include both the planning reference number and the condition number(s) you seek confirmation</w:t>
            </w:r>
            <w:r>
              <w:rPr>
                <w:spacing w:val="-20"/>
                <w:sz w:val="22"/>
              </w:rPr>
              <w:t> </w:t>
            </w:r>
            <w:r>
              <w:rPr>
                <w:sz w:val="22"/>
              </w:rPr>
              <w:t>of discharge</w:t>
            </w:r>
          </w:p>
          <w:p>
            <w:pPr>
              <w:pStyle w:val="TableParagraph"/>
              <w:numPr>
                <w:ilvl w:val="0"/>
                <w:numId w:val="9"/>
              </w:numPr>
              <w:tabs>
                <w:tab w:pos="439" w:val="left" w:leader="none"/>
                <w:tab w:pos="440" w:val="left" w:leader="none"/>
              </w:tabs>
              <w:spacing w:line="240" w:lineRule="auto" w:before="3" w:after="0"/>
              <w:ind w:left="439" w:right="0" w:hanging="361"/>
              <w:jc w:val="left"/>
              <w:rPr>
                <w:sz w:val="22"/>
              </w:rPr>
            </w:pPr>
            <w:r>
              <w:rPr>
                <w:sz w:val="22"/>
              </w:rPr>
              <w:t>Plans/drawings/reports/materials if</w:t>
            </w:r>
            <w:r>
              <w:rPr>
                <w:spacing w:val="-2"/>
                <w:sz w:val="22"/>
              </w:rPr>
              <w:t> </w:t>
            </w:r>
            <w:r>
              <w:rPr>
                <w:sz w:val="22"/>
              </w:rPr>
              <w:t>applicable</w:t>
            </w:r>
          </w:p>
        </w:tc>
      </w:tr>
      <w:tr>
        <w:trPr>
          <w:trHeight w:val="3732" w:hRule="atLeast"/>
        </w:trPr>
        <w:tc>
          <w:tcPr>
            <w:tcW w:w="2555" w:type="dxa"/>
            <w:shd w:val="clear" w:color="auto" w:fill="E2DDD9"/>
          </w:tcPr>
          <w:p>
            <w:pPr>
              <w:pStyle w:val="TableParagraph"/>
              <w:spacing w:line="249" w:lineRule="auto" w:before="23"/>
              <w:ind w:left="78" w:right="1165"/>
              <w:rPr>
                <w:sz w:val="22"/>
              </w:rPr>
            </w:pPr>
            <w:r>
              <w:rPr>
                <w:sz w:val="22"/>
              </w:rPr>
              <w:t>Full Planning Permission</w:t>
            </w:r>
          </w:p>
        </w:tc>
        <w:tc>
          <w:tcPr>
            <w:tcW w:w="7062" w:type="dxa"/>
          </w:tcPr>
          <w:p>
            <w:pPr>
              <w:pStyle w:val="TableParagraph"/>
              <w:numPr>
                <w:ilvl w:val="0"/>
                <w:numId w:val="10"/>
              </w:numPr>
              <w:tabs>
                <w:tab w:pos="439" w:val="left" w:leader="none"/>
                <w:tab w:pos="440" w:val="left" w:leader="none"/>
              </w:tabs>
              <w:spacing w:line="240" w:lineRule="auto" w:before="23" w:after="0"/>
              <w:ind w:left="439" w:right="0" w:hanging="361"/>
              <w:jc w:val="left"/>
              <w:rPr>
                <w:sz w:val="22"/>
              </w:rPr>
            </w:pPr>
            <w:r>
              <w:rPr>
                <w:sz w:val="22"/>
              </w:rPr>
              <w:t>Signed application</w:t>
            </w:r>
            <w:r>
              <w:rPr>
                <w:spacing w:val="-11"/>
                <w:sz w:val="22"/>
              </w:rPr>
              <w:t> </w:t>
            </w:r>
            <w:r>
              <w:rPr>
                <w:sz w:val="22"/>
              </w:rPr>
              <w:t>form</w:t>
            </w:r>
          </w:p>
          <w:p>
            <w:pPr>
              <w:pStyle w:val="TableParagraph"/>
              <w:numPr>
                <w:ilvl w:val="0"/>
                <w:numId w:val="10"/>
              </w:numPr>
              <w:tabs>
                <w:tab w:pos="439" w:val="left" w:leader="none"/>
                <w:tab w:pos="440" w:val="left" w:leader="none"/>
              </w:tabs>
              <w:spacing w:line="240" w:lineRule="auto" w:before="11" w:after="0"/>
              <w:ind w:left="439" w:right="0" w:hanging="361"/>
              <w:jc w:val="left"/>
              <w:rPr>
                <w:sz w:val="22"/>
              </w:rPr>
            </w:pPr>
            <w:r>
              <w:rPr>
                <w:sz w:val="22"/>
              </w:rPr>
              <w:t>Certificate of</w:t>
            </w:r>
            <w:r>
              <w:rPr>
                <w:spacing w:val="-22"/>
                <w:sz w:val="22"/>
              </w:rPr>
              <w:t> </w:t>
            </w:r>
            <w:r>
              <w:rPr>
                <w:sz w:val="22"/>
              </w:rPr>
              <w:t>ownership</w:t>
            </w:r>
          </w:p>
          <w:p>
            <w:pPr>
              <w:pStyle w:val="TableParagraph"/>
              <w:numPr>
                <w:ilvl w:val="0"/>
                <w:numId w:val="10"/>
              </w:numPr>
              <w:tabs>
                <w:tab w:pos="439" w:val="left" w:leader="none"/>
                <w:tab w:pos="440" w:val="left" w:leader="none"/>
              </w:tabs>
              <w:spacing w:line="249" w:lineRule="auto" w:before="11" w:after="0"/>
              <w:ind w:left="439" w:right="74" w:hanging="360"/>
              <w:jc w:val="left"/>
              <w:rPr>
                <w:sz w:val="22"/>
              </w:rPr>
            </w:pPr>
            <w:r>
              <w:rPr>
                <w:sz w:val="22"/>
              </w:rPr>
              <w:t>The correct fee in accordance with the current The Planning</w:t>
            </w:r>
            <w:r>
              <w:rPr>
                <w:spacing w:val="-20"/>
                <w:sz w:val="22"/>
              </w:rPr>
              <w:t> </w:t>
            </w:r>
            <w:r>
              <w:rPr>
                <w:sz w:val="22"/>
              </w:rPr>
              <w:t>(Fees) (Amendment) Regulations (Northern</w:t>
            </w:r>
            <w:r>
              <w:rPr>
                <w:spacing w:val="-2"/>
                <w:sz w:val="22"/>
              </w:rPr>
              <w:t> </w:t>
            </w:r>
            <w:r>
              <w:rPr>
                <w:sz w:val="22"/>
              </w:rPr>
              <w:t>Ireland)</w:t>
            </w:r>
          </w:p>
          <w:p>
            <w:pPr>
              <w:pStyle w:val="TableParagraph"/>
              <w:numPr>
                <w:ilvl w:val="0"/>
                <w:numId w:val="10"/>
              </w:numPr>
              <w:tabs>
                <w:tab w:pos="439" w:val="left" w:leader="none"/>
                <w:tab w:pos="440" w:val="left" w:leader="none"/>
              </w:tabs>
              <w:spacing w:line="249" w:lineRule="auto" w:before="2" w:after="0"/>
              <w:ind w:left="439" w:right="1062" w:hanging="360"/>
              <w:jc w:val="left"/>
              <w:rPr>
                <w:sz w:val="22"/>
              </w:rPr>
            </w:pPr>
            <w:r>
              <w:rPr>
                <w:sz w:val="22"/>
              </w:rPr>
              <w:t>Site Location Plan to include neighbouring land owned</w:t>
            </w:r>
            <w:r>
              <w:rPr>
                <w:spacing w:val="-34"/>
                <w:sz w:val="22"/>
              </w:rPr>
              <w:t> </w:t>
            </w:r>
            <w:r>
              <w:rPr>
                <w:sz w:val="22"/>
              </w:rPr>
              <w:t>(if applicable)</w:t>
            </w:r>
          </w:p>
          <w:p>
            <w:pPr>
              <w:pStyle w:val="TableParagraph"/>
              <w:numPr>
                <w:ilvl w:val="0"/>
                <w:numId w:val="10"/>
              </w:numPr>
              <w:tabs>
                <w:tab w:pos="439" w:val="left" w:leader="none"/>
                <w:tab w:pos="440" w:val="left" w:leader="none"/>
              </w:tabs>
              <w:spacing w:line="240" w:lineRule="auto" w:before="2" w:after="0"/>
              <w:ind w:left="439" w:right="0" w:hanging="361"/>
              <w:jc w:val="left"/>
              <w:rPr>
                <w:sz w:val="22"/>
              </w:rPr>
            </w:pPr>
            <w:r>
              <w:rPr>
                <w:sz w:val="22"/>
              </w:rPr>
              <w:t>Plans and</w:t>
            </w:r>
            <w:r>
              <w:rPr>
                <w:spacing w:val="-2"/>
                <w:sz w:val="22"/>
              </w:rPr>
              <w:t> </w:t>
            </w:r>
            <w:r>
              <w:rPr>
                <w:sz w:val="22"/>
              </w:rPr>
              <w:t>drawings</w:t>
            </w:r>
          </w:p>
          <w:p>
            <w:pPr>
              <w:pStyle w:val="TableParagraph"/>
              <w:numPr>
                <w:ilvl w:val="0"/>
                <w:numId w:val="10"/>
              </w:numPr>
              <w:tabs>
                <w:tab w:pos="439" w:val="left" w:leader="none"/>
                <w:tab w:pos="440" w:val="left" w:leader="none"/>
              </w:tabs>
              <w:spacing w:line="249" w:lineRule="auto" w:before="11" w:after="0"/>
              <w:ind w:left="439" w:right="719" w:hanging="360"/>
              <w:jc w:val="left"/>
              <w:rPr>
                <w:sz w:val="22"/>
              </w:rPr>
            </w:pPr>
            <w:r>
              <w:rPr>
                <w:sz w:val="22"/>
              </w:rPr>
              <w:t>Design and Access Statement (if required by Article 6 of</w:t>
            </w:r>
            <w:r>
              <w:rPr>
                <w:spacing w:val="-41"/>
                <w:sz w:val="22"/>
              </w:rPr>
              <w:t> </w:t>
            </w:r>
            <w:r>
              <w:rPr>
                <w:sz w:val="22"/>
              </w:rPr>
              <w:t>The Planning (General Development Procedure) Order (NI)</w:t>
            </w:r>
            <w:r>
              <w:rPr>
                <w:spacing w:val="-15"/>
                <w:sz w:val="22"/>
              </w:rPr>
              <w:t> </w:t>
            </w:r>
            <w:r>
              <w:rPr>
                <w:sz w:val="22"/>
              </w:rPr>
              <w:t>2015</w:t>
            </w:r>
          </w:p>
          <w:p>
            <w:pPr>
              <w:pStyle w:val="TableParagraph"/>
              <w:numPr>
                <w:ilvl w:val="0"/>
                <w:numId w:val="10"/>
              </w:numPr>
              <w:tabs>
                <w:tab w:pos="439" w:val="left" w:leader="none"/>
                <w:tab w:pos="440" w:val="left" w:leader="none"/>
              </w:tabs>
              <w:spacing w:line="249" w:lineRule="auto" w:before="2" w:after="0"/>
              <w:ind w:left="439" w:right="487" w:hanging="360"/>
              <w:jc w:val="left"/>
              <w:rPr>
                <w:sz w:val="22"/>
              </w:rPr>
            </w:pPr>
            <w:r>
              <w:rPr>
                <w:sz w:val="22"/>
              </w:rPr>
              <w:t>Pre-Application Community Consultation Report where the application relates to development belonging to the category</w:t>
            </w:r>
            <w:r>
              <w:rPr>
                <w:spacing w:val="-32"/>
                <w:sz w:val="22"/>
              </w:rPr>
              <w:t> </w:t>
            </w:r>
            <w:r>
              <w:rPr>
                <w:sz w:val="22"/>
              </w:rPr>
              <w:t>of major</w:t>
            </w:r>
            <w:r>
              <w:rPr>
                <w:spacing w:val="-1"/>
                <w:sz w:val="22"/>
              </w:rPr>
              <w:t> </w:t>
            </w:r>
            <w:r>
              <w:rPr>
                <w:sz w:val="22"/>
              </w:rPr>
              <w:t>development</w:t>
            </w:r>
          </w:p>
          <w:p>
            <w:pPr>
              <w:pStyle w:val="TableParagraph"/>
              <w:numPr>
                <w:ilvl w:val="0"/>
                <w:numId w:val="10"/>
              </w:numPr>
              <w:tabs>
                <w:tab w:pos="439" w:val="left" w:leader="none"/>
                <w:tab w:pos="440" w:val="left" w:leader="none"/>
              </w:tabs>
              <w:spacing w:line="240" w:lineRule="auto" w:before="2" w:after="0"/>
              <w:ind w:left="439" w:right="0" w:hanging="361"/>
              <w:jc w:val="left"/>
              <w:rPr>
                <w:sz w:val="22"/>
              </w:rPr>
            </w:pPr>
            <w:r>
              <w:rPr>
                <w:sz w:val="22"/>
              </w:rPr>
              <w:t>P1c form if</w:t>
            </w:r>
            <w:r>
              <w:rPr>
                <w:spacing w:val="-2"/>
                <w:sz w:val="22"/>
              </w:rPr>
              <w:t> </w:t>
            </w:r>
            <w:r>
              <w:rPr>
                <w:sz w:val="22"/>
              </w:rPr>
              <w:t>applicable</w:t>
            </w:r>
          </w:p>
        </w:tc>
      </w:tr>
      <w:tr>
        <w:trPr>
          <w:trHeight w:val="1356" w:hRule="atLeast"/>
        </w:trPr>
        <w:tc>
          <w:tcPr>
            <w:tcW w:w="2555" w:type="dxa"/>
            <w:shd w:val="clear" w:color="auto" w:fill="E2DDD9"/>
          </w:tcPr>
          <w:p>
            <w:pPr>
              <w:pStyle w:val="TableParagraph"/>
              <w:spacing w:before="23"/>
              <w:ind w:left="78"/>
              <w:rPr>
                <w:sz w:val="22"/>
              </w:rPr>
            </w:pPr>
            <w:r>
              <w:rPr>
                <w:sz w:val="22"/>
              </w:rPr>
              <w:t>Listed Building Consent</w:t>
            </w:r>
          </w:p>
        </w:tc>
        <w:tc>
          <w:tcPr>
            <w:tcW w:w="7062" w:type="dxa"/>
          </w:tcPr>
          <w:p>
            <w:pPr>
              <w:pStyle w:val="TableParagraph"/>
              <w:numPr>
                <w:ilvl w:val="0"/>
                <w:numId w:val="11"/>
              </w:numPr>
              <w:tabs>
                <w:tab w:pos="438" w:val="left" w:leader="none"/>
                <w:tab w:pos="439" w:val="left" w:leader="none"/>
              </w:tabs>
              <w:spacing w:line="240" w:lineRule="auto" w:before="23" w:after="0"/>
              <w:ind w:left="438" w:right="0" w:hanging="361"/>
              <w:jc w:val="left"/>
              <w:rPr>
                <w:sz w:val="22"/>
              </w:rPr>
            </w:pPr>
            <w:r>
              <w:rPr>
                <w:sz w:val="22"/>
              </w:rPr>
              <w:t>Signed application</w:t>
            </w:r>
            <w:r>
              <w:rPr>
                <w:spacing w:val="-11"/>
                <w:sz w:val="22"/>
              </w:rPr>
              <w:t> </w:t>
            </w:r>
            <w:r>
              <w:rPr>
                <w:sz w:val="22"/>
              </w:rPr>
              <w:t>form</w:t>
            </w:r>
          </w:p>
          <w:p>
            <w:pPr>
              <w:pStyle w:val="TableParagraph"/>
              <w:numPr>
                <w:ilvl w:val="0"/>
                <w:numId w:val="11"/>
              </w:numPr>
              <w:tabs>
                <w:tab w:pos="438" w:val="left" w:leader="none"/>
                <w:tab w:pos="439" w:val="left" w:leader="none"/>
              </w:tabs>
              <w:spacing w:line="240" w:lineRule="auto" w:before="11" w:after="0"/>
              <w:ind w:left="438" w:right="0" w:hanging="361"/>
              <w:jc w:val="left"/>
              <w:rPr>
                <w:sz w:val="22"/>
              </w:rPr>
            </w:pPr>
            <w:r>
              <w:rPr>
                <w:sz w:val="22"/>
              </w:rPr>
              <w:t>Certificate of</w:t>
            </w:r>
            <w:r>
              <w:rPr>
                <w:spacing w:val="-22"/>
                <w:sz w:val="22"/>
              </w:rPr>
              <w:t> </w:t>
            </w:r>
            <w:r>
              <w:rPr>
                <w:sz w:val="22"/>
              </w:rPr>
              <w:t>ownership</w:t>
            </w:r>
          </w:p>
          <w:p>
            <w:pPr>
              <w:pStyle w:val="TableParagraph"/>
              <w:numPr>
                <w:ilvl w:val="0"/>
                <w:numId w:val="11"/>
              </w:numPr>
              <w:tabs>
                <w:tab w:pos="438" w:val="left" w:leader="none"/>
                <w:tab w:pos="439" w:val="left" w:leader="none"/>
              </w:tabs>
              <w:spacing w:line="240" w:lineRule="auto" w:before="11" w:after="0"/>
              <w:ind w:left="438" w:right="0" w:hanging="361"/>
              <w:jc w:val="left"/>
              <w:rPr>
                <w:sz w:val="22"/>
              </w:rPr>
            </w:pPr>
            <w:r>
              <w:rPr>
                <w:sz w:val="22"/>
              </w:rPr>
              <w:t>Site Location</w:t>
            </w:r>
            <w:r>
              <w:rPr>
                <w:spacing w:val="-2"/>
                <w:sz w:val="22"/>
              </w:rPr>
              <w:t> </w:t>
            </w:r>
            <w:r>
              <w:rPr>
                <w:sz w:val="22"/>
              </w:rPr>
              <w:t>Plan</w:t>
            </w:r>
          </w:p>
          <w:p>
            <w:pPr>
              <w:pStyle w:val="TableParagraph"/>
              <w:numPr>
                <w:ilvl w:val="0"/>
                <w:numId w:val="11"/>
              </w:numPr>
              <w:tabs>
                <w:tab w:pos="438" w:val="left" w:leader="none"/>
                <w:tab w:pos="439" w:val="left" w:leader="none"/>
              </w:tabs>
              <w:spacing w:line="240" w:lineRule="auto" w:before="11" w:after="0"/>
              <w:ind w:left="438" w:right="0" w:hanging="361"/>
              <w:jc w:val="left"/>
              <w:rPr>
                <w:sz w:val="22"/>
              </w:rPr>
            </w:pPr>
            <w:r>
              <w:rPr>
                <w:sz w:val="22"/>
              </w:rPr>
              <w:t>Plans and</w:t>
            </w:r>
            <w:r>
              <w:rPr>
                <w:spacing w:val="-2"/>
                <w:sz w:val="22"/>
              </w:rPr>
              <w:t> </w:t>
            </w:r>
            <w:r>
              <w:rPr>
                <w:sz w:val="22"/>
              </w:rPr>
              <w:t>drawings</w:t>
            </w:r>
          </w:p>
          <w:p>
            <w:pPr>
              <w:pStyle w:val="TableParagraph"/>
              <w:numPr>
                <w:ilvl w:val="0"/>
                <w:numId w:val="11"/>
              </w:numPr>
              <w:tabs>
                <w:tab w:pos="438" w:val="left" w:leader="none"/>
                <w:tab w:pos="439" w:val="left" w:leader="none"/>
              </w:tabs>
              <w:spacing w:line="240" w:lineRule="auto" w:before="11" w:after="0"/>
              <w:ind w:left="438" w:right="0" w:hanging="361"/>
              <w:jc w:val="left"/>
              <w:rPr>
                <w:sz w:val="22"/>
              </w:rPr>
            </w:pPr>
            <w:r>
              <w:rPr>
                <w:sz w:val="22"/>
              </w:rPr>
              <w:t>Design and Access</w:t>
            </w:r>
            <w:r>
              <w:rPr>
                <w:spacing w:val="-14"/>
                <w:sz w:val="22"/>
              </w:rPr>
              <w:t> </w:t>
            </w:r>
            <w:r>
              <w:rPr>
                <w:sz w:val="22"/>
              </w:rPr>
              <w:t>Statement</w:t>
            </w:r>
          </w:p>
        </w:tc>
      </w:tr>
    </w:tbl>
    <w:p>
      <w:pPr>
        <w:spacing w:after="0" w:line="240" w:lineRule="auto"/>
        <w:jc w:val="left"/>
        <w:rPr>
          <w:sz w:val="22"/>
        </w:rPr>
        <w:sectPr>
          <w:pgSz w:w="11910" w:h="16840"/>
          <w:pgMar w:header="0" w:footer="668" w:top="960" w:bottom="1060" w:left="1020" w:right="1020"/>
        </w:sectPr>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55"/>
        <w:gridCol w:w="7062"/>
      </w:tblGrid>
      <w:tr>
        <w:trPr>
          <w:trHeight w:val="423" w:hRule="atLeast"/>
        </w:trPr>
        <w:tc>
          <w:tcPr>
            <w:tcW w:w="2555" w:type="dxa"/>
            <w:shd w:val="clear" w:color="auto" w:fill="EE3124"/>
          </w:tcPr>
          <w:p>
            <w:pPr>
              <w:pStyle w:val="TableParagraph"/>
              <w:spacing w:before="15"/>
              <w:ind w:left="80"/>
              <w:rPr>
                <w:b/>
                <w:sz w:val="24"/>
              </w:rPr>
            </w:pPr>
            <w:r>
              <w:rPr>
                <w:b/>
                <w:color w:val="FFFFFF"/>
                <w:sz w:val="24"/>
              </w:rPr>
              <w:t>Application</w:t>
            </w:r>
            <w:r>
              <w:rPr>
                <w:b/>
                <w:color w:val="FFFFFF"/>
                <w:spacing w:val="64"/>
                <w:sz w:val="24"/>
              </w:rPr>
              <w:t> </w:t>
            </w:r>
            <w:r>
              <w:rPr>
                <w:b/>
                <w:color w:val="FFFFFF"/>
                <w:spacing w:val="-6"/>
                <w:sz w:val="24"/>
              </w:rPr>
              <w:t>Type</w:t>
            </w:r>
          </w:p>
        </w:tc>
        <w:tc>
          <w:tcPr>
            <w:tcW w:w="7062" w:type="dxa"/>
            <w:shd w:val="clear" w:color="auto" w:fill="EE3124"/>
          </w:tcPr>
          <w:p>
            <w:pPr>
              <w:pStyle w:val="TableParagraph"/>
              <w:spacing w:before="15"/>
              <w:ind w:left="80"/>
              <w:rPr>
                <w:b/>
                <w:sz w:val="24"/>
              </w:rPr>
            </w:pPr>
            <w:r>
              <w:rPr>
                <w:b/>
                <w:color w:val="FFFFFF"/>
                <w:sz w:val="24"/>
              </w:rPr>
              <w:t>Information Required</w:t>
            </w:r>
          </w:p>
        </w:tc>
      </w:tr>
      <w:tr>
        <w:trPr>
          <w:trHeight w:val="1092" w:hRule="atLeast"/>
        </w:trPr>
        <w:tc>
          <w:tcPr>
            <w:tcW w:w="2555" w:type="dxa"/>
            <w:shd w:val="clear" w:color="auto" w:fill="E2DDD9"/>
          </w:tcPr>
          <w:p>
            <w:pPr>
              <w:pStyle w:val="TableParagraph"/>
              <w:spacing w:before="20"/>
              <w:ind w:left="80"/>
              <w:rPr>
                <w:sz w:val="22"/>
              </w:rPr>
            </w:pPr>
            <w:r>
              <w:rPr>
                <w:sz w:val="22"/>
              </w:rPr>
              <w:t>Non-Material Change</w:t>
            </w:r>
          </w:p>
        </w:tc>
        <w:tc>
          <w:tcPr>
            <w:tcW w:w="7062" w:type="dxa"/>
          </w:tcPr>
          <w:p>
            <w:pPr>
              <w:pStyle w:val="TableParagraph"/>
              <w:numPr>
                <w:ilvl w:val="0"/>
                <w:numId w:val="12"/>
              </w:numPr>
              <w:tabs>
                <w:tab w:pos="440" w:val="left" w:leader="none"/>
                <w:tab w:pos="441" w:val="left" w:leader="none"/>
              </w:tabs>
              <w:spacing w:line="240" w:lineRule="auto" w:before="20" w:after="0"/>
              <w:ind w:left="440" w:right="0" w:hanging="361"/>
              <w:jc w:val="left"/>
              <w:rPr>
                <w:sz w:val="22"/>
              </w:rPr>
            </w:pPr>
            <w:r>
              <w:rPr>
                <w:sz w:val="22"/>
              </w:rPr>
              <w:t>Signed application</w:t>
            </w:r>
            <w:r>
              <w:rPr>
                <w:spacing w:val="-2"/>
                <w:sz w:val="22"/>
              </w:rPr>
              <w:t> </w:t>
            </w:r>
            <w:r>
              <w:rPr>
                <w:sz w:val="22"/>
              </w:rPr>
              <w:t>form</w:t>
            </w:r>
          </w:p>
          <w:p>
            <w:pPr>
              <w:pStyle w:val="TableParagraph"/>
              <w:numPr>
                <w:ilvl w:val="0"/>
                <w:numId w:val="12"/>
              </w:numPr>
              <w:tabs>
                <w:tab w:pos="440" w:val="left" w:leader="none"/>
                <w:tab w:pos="441" w:val="left" w:leader="none"/>
              </w:tabs>
              <w:spacing w:line="240" w:lineRule="auto" w:before="11" w:after="0"/>
              <w:ind w:left="440" w:right="0" w:hanging="361"/>
              <w:jc w:val="left"/>
              <w:rPr>
                <w:sz w:val="22"/>
              </w:rPr>
            </w:pPr>
            <w:r>
              <w:rPr>
                <w:sz w:val="22"/>
              </w:rPr>
              <w:t>Statement</w:t>
            </w:r>
            <w:r>
              <w:rPr>
                <w:spacing w:val="34"/>
                <w:sz w:val="22"/>
              </w:rPr>
              <w:t> </w:t>
            </w:r>
            <w:r>
              <w:rPr>
                <w:sz w:val="22"/>
              </w:rPr>
              <w:t>describing</w:t>
            </w:r>
            <w:r>
              <w:rPr>
                <w:spacing w:val="34"/>
                <w:sz w:val="22"/>
              </w:rPr>
              <w:t> </w:t>
            </w:r>
            <w:r>
              <w:rPr>
                <w:sz w:val="22"/>
              </w:rPr>
              <w:t>the</w:t>
            </w:r>
            <w:r>
              <w:rPr>
                <w:spacing w:val="35"/>
                <w:sz w:val="22"/>
              </w:rPr>
              <w:t> </w:t>
            </w:r>
            <w:r>
              <w:rPr>
                <w:sz w:val="22"/>
              </w:rPr>
              <w:t>proposed</w:t>
            </w:r>
            <w:r>
              <w:rPr>
                <w:spacing w:val="34"/>
                <w:sz w:val="22"/>
              </w:rPr>
              <w:t> </w:t>
            </w:r>
            <w:r>
              <w:rPr>
                <w:sz w:val="22"/>
              </w:rPr>
              <w:t>non-material</w:t>
            </w:r>
            <w:r>
              <w:rPr>
                <w:spacing w:val="35"/>
                <w:sz w:val="22"/>
              </w:rPr>
              <w:t> </w:t>
            </w:r>
            <w:r>
              <w:rPr>
                <w:sz w:val="22"/>
              </w:rPr>
              <w:t>change</w:t>
            </w:r>
            <w:r>
              <w:rPr>
                <w:spacing w:val="34"/>
                <w:sz w:val="22"/>
              </w:rPr>
              <w:t> </w:t>
            </w:r>
            <w:r>
              <w:rPr>
                <w:sz w:val="22"/>
              </w:rPr>
              <w:t>and</w:t>
            </w:r>
            <w:r>
              <w:rPr>
                <w:spacing w:val="35"/>
                <w:sz w:val="22"/>
              </w:rPr>
              <w:t> </w:t>
            </w:r>
            <w:r>
              <w:rPr>
                <w:sz w:val="22"/>
              </w:rPr>
              <w:t>the</w:t>
            </w:r>
          </w:p>
          <w:p>
            <w:pPr>
              <w:pStyle w:val="TableParagraph"/>
              <w:ind w:left="440"/>
              <w:rPr>
                <w:sz w:val="22"/>
              </w:rPr>
            </w:pPr>
            <w:r>
              <w:rPr>
                <w:sz w:val="22"/>
              </w:rPr>
              <w:t>original approval planning reference</w:t>
            </w:r>
          </w:p>
        </w:tc>
      </w:tr>
      <w:tr>
        <w:trPr>
          <w:trHeight w:val="3468" w:hRule="atLeast"/>
        </w:trPr>
        <w:tc>
          <w:tcPr>
            <w:tcW w:w="2555" w:type="dxa"/>
            <w:shd w:val="clear" w:color="auto" w:fill="E2DDD9"/>
          </w:tcPr>
          <w:p>
            <w:pPr>
              <w:pStyle w:val="TableParagraph"/>
              <w:spacing w:line="249" w:lineRule="auto" w:before="20"/>
              <w:ind w:left="79" w:right="821"/>
              <w:rPr>
                <w:sz w:val="22"/>
              </w:rPr>
            </w:pPr>
            <w:r>
              <w:rPr>
                <w:sz w:val="22"/>
              </w:rPr>
              <w:t>Outline Planning Permission</w:t>
            </w:r>
          </w:p>
        </w:tc>
        <w:tc>
          <w:tcPr>
            <w:tcW w:w="7062" w:type="dxa"/>
          </w:tcPr>
          <w:p>
            <w:pPr>
              <w:pStyle w:val="TableParagraph"/>
              <w:numPr>
                <w:ilvl w:val="0"/>
                <w:numId w:val="13"/>
              </w:numPr>
              <w:tabs>
                <w:tab w:pos="439" w:val="left" w:leader="none"/>
                <w:tab w:pos="440" w:val="left" w:leader="none"/>
              </w:tabs>
              <w:spacing w:line="240" w:lineRule="auto" w:before="20" w:after="0"/>
              <w:ind w:left="440" w:right="0" w:hanging="360"/>
              <w:jc w:val="left"/>
              <w:rPr>
                <w:sz w:val="22"/>
              </w:rPr>
            </w:pPr>
            <w:r>
              <w:rPr>
                <w:sz w:val="22"/>
              </w:rPr>
              <w:t>Signed application</w:t>
            </w:r>
            <w:r>
              <w:rPr>
                <w:spacing w:val="-11"/>
                <w:sz w:val="22"/>
              </w:rPr>
              <w:t> </w:t>
            </w:r>
            <w:r>
              <w:rPr>
                <w:sz w:val="22"/>
              </w:rPr>
              <w:t>form</w:t>
            </w:r>
          </w:p>
          <w:p>
            <w:pPr>
              <w:pStyle w:val="TableParagraph"/>
              <w:numPr>
                <w:ilvl w:val="0"/>
                <w:numId w:val="13"/>
              </w:numPr>
              <w:tabs>
                <w:tab w:pos="439" w:val="left" w:leader="none"/>
                <w:tab w:pos="440" w:val="left" w:leader="none"/>
              </w:tabs>
              <w:spacing w:line="240" w:lineRule="auto" w:before="11" w:after="0"/>
              <w:ind w:left="440" w:right="0" w:hanging="360"/>
              <w:jc w:val="left"/>
              <w:rPr>
                <w:sz w:val="22"/>
              </w:rPr>
            </w:pPr>
            <w:r>
              <w:rPr>
                <w:sz w:val="22"/>
              </w:rPr>
              <w:t>Certificate of</w:t>
            </w:r>
            <w:r>
              <w:rPr>
                <w:spacing w:val="-22"/>
                <w:sz w:val="22"/>
              </w:rPr>
              <w:t> </w:t>
            </w:r>
            <w:r>
              <w:rPr>
                <w:sz w:val="22"/>
              </w:rPr>
              <w:t>ownership</w:t>
            </w:r>
          </w:p>
          <w:p>
            <w:pPr>
              <w:pStyle w:val="TableParagraph"/>
              <w:numPr>
                <w:ilvl w:val="0"/>
                <w:numId w:val="13"/>
              </w:numPr>
              <w:tabs>
                <w:tab w:pos="439" w:val="left" w:leader="none"/>
                <w:tab w:pos="440" w:val="left" w:leader="none"/>
              </w:tabs>
              <w:spacing w:line="249" w:lineRule="auto" w:before="11" w:after="0"/>
              <w:ind w:left="439" w:right="57" w:hanging="360"/>
              <w:jc w:val="left"/>
              <w:rPr>
                <w:sz w:val="22"/>
              </w:rPr>
            </w:pPr>
            <w:r>
              <w:rPr>
                <w:sz w:val="22"/>
              </w:rPr>
              <w:t>The correct fee in accordance with the current The Planning (Fees) (Amendment) Regulations (Northern</w:t>
            </w:r>
            <w:r>
              <w:rPr>
                <w:spacing w:val="-2"/>
                <w:sz w:val="22"/>
              </w:rPr>
              <w:t> </w:t>
            </w:r>
            <w:r>
              <w:rPr>
                <w:sz w:val="22"/>
              </w:rPr>
              <w:t>Ireland)</w:t>
            </w:r>
          </w:p>
          <w:p>
            <w:pPr>
              <w:pStyle w:val="TableParagraph"/>
              <w:numPr>
                <w:ilvl w:val="0"/>
                <w:numId w:val="13"/>
              </w:numPr>
              <w:tabs>
                <w:tab w:pos="439" w:val="left" w:leader="none"/>
                <w:tab w:pos="440" w:val="left" w:leader="none"/>
              </w:tabs>
              <w:spacing w:line="240" w:lineRule="auto" w:before="1" w:after="0"/>
              <w:ind w:left="440" w:right="0" w:hanging="360"/>
              <w:jc w:val="left"/>
              <w:rPr>
                <w:sz w:val="22"/>
              </w:rPr>
            </w:pPr>
            <w:r>
              <w:rPr>
                <w:sz w:val="22"/>
              </w:rPr>
              <w:t>Site</w:t>
            </w:r>
            <w:r>
              <w:rPr>
                <w:spacing w:val="-16"/>
                <w:sz w:val="22"/>
              </w:rPr>
              <w:t> </w:t>
            </w:r>
            <w:r>
              <w:rPr>
                <w:sz w:val="22"/>
              </w:rPr>
              <w:t>Location</w:t>
            </w:r>
            <w:r>
              <w:rPr>
                <w:spacing w:val="-15"/>
                <w:sz w:val="22"/>
              </w:rPr>
              <w:t> </w:t>
            </w:r>
            <w:r>
              <w:rPr>
                <w:sz w:val="22"/>
              </w:rPr>
              <w:t>plan</w:t>
            </w:r>
            <w:r>
              <w:rPr>
                <w:spacing w:val="-16"/>
                <w:sz w:val="22"/>
              </w:rPr>
              <w:t> </w:t>
            </w:r>
            <w:r>
              <w:rPr>
                <w:sz w:val="22"/>
              </w:rPr>
              <w:t>to</w:t>
            </w:r>
            <w:r>
              <w:rPr>
                <w:spacing w:val="-15"/>
                <w:sz w:val="22"/>
              </w:rPr>
              <w:t> </w:t>
            </w:r>
            <w:r>
              <w:rPr>
                <w:sz w:val="22"/>
              </w:rPr>
              <w:t>include</w:t>
            </w:r>
            <w:r>
              <w:rPr>
                <w:spacing w:val="-15"/>
                <w:sz w:val="22"/>
              </w:rPr>
              <w:t> </w:t>
            </w:r>
            <w:r>
              <w:rPr>
                <w:sz w:val="22"/>
              </w:rPr>
              <w:t>neighbouring</w:t>
            </w:r>
            <w:r>
              <w:rPr>
                <w:spacing w:val="-15"/>
                <w:sz w:val="22"/>
              </w:rPr>
              <w:t> </w:t>
            </w:r>
            <w:r>
              <w:rPr>
                <w:sz w:val="22"/>
              </w:rPr>
              <w:t>land</w:t>
            </w:r>
            <w:r>
              <w:rPr>
                <w:spacing w:val="-16"/>
                <w:sz w:val="22"/>
              </w:rPr>
              <w:t> </w:t>
            </w:r>
            <w:r>
              <w:rPr>
                <w:sz w:val="22"/>
              </w:rPr>
              <w:t>owned</w:t>
            </w:r>
            <w:r>
              <w:rPr>
                <w:spacing w:val="-15"/>
                <w:sz w:val="22"/>
              </w:rPr>
              <w:t> </w:t>
            </w:r>
            <w:r>
              <w:rPr>
                <w:sz w:val="22"/>
              </w:rPr>
              <w:t>(if</w:t>
            </w:r>
            <w:r>
              <w:rPr>
                <w:spacing w:val="-15"/>
                <w:sz w:val="22"/>
              </w:rPr>
              <w:t> </w:t>
            </w:r>
            <w:r>
              <w:rPr>
                <w:sz w:val="22"/>
              </w:rPr>
              <w:t>applicable)</w:t>
            </w:r>
          </w:p>
          <w:p>
            <w:pPr>
              <w:pStyle w:val="TableParagraph"/>
              <w:numPr>
                <w:ilvl w:val="0"/>
                <w:numId w:val="13"/>
              </w:numPr>
              <w:tabs>
                <w:tab w:pos="439" w:val="left" w:leader="none"/>
                <w:tab w:pos="440" w:val="left" w:leader="none"/>
              </w:tabs>
              <w:spacing w:line="240" w:lineRule="auto" w:before="11" w:after="0"/>
              <w:ind w:left="440" w:right="0" w:hanging="360"/>
              <w:jc w:val="left"/>
              <w:rPr>
                <w:sz w:val="22"/>
              </w:rPr>
            </w:pPr>
            <w:r>
              <w:rPr>
                <w:sz w:val="22"/>
              </w:rPr>
              <w:t>Plans and</w:t>
            </w:r>
            <w:r>
              <w:rPr>
                <w:spacing w:val="-2"/>
                <w:sz w:val="22"/>
              </w:rPr>
              <w:t> </w:t>
            </w:r>
            <w:r>
              <w:rPr>
                <w:sz w:val="22"/>
              </w:rPr>
              <w:t>drawings</w:t>
            </w:r>
          </w:p>
          <w:p>
            <w:pPr>
              <w:pStyle w:val="TableParagraph"/>
              <w:numPr>
                <w:ilvl w:val="0"/>
                <w:numId w:val="13"/>
              </w:numPr>
              <w:tabs>
                <w:tab w:pos="440" w:val="left" w:leader="none"/>
              </w:tabs>
              <w:spacing w:line="249" w:lineRule="auto" w:before="11" w:after="0"/>
              <w:ind w:left="439" w:right="57" w:hanging="360"/>
              <w:jc w:val="both"/>
              <w:rPr>
                <w:sz w:val="22"/>
              </w:rPr>
            </w:pPr>
            <w:r>
              <w:rPr>
                <w:sz w:val="22"/>
              </w:rPr>
              <w:t>Design</w:t>
            </w:r>
            <w:r>
              <w:rPr>
                <w:spacing w:val="-23"/>
                <w:sz w:val="22"/>
              </w:rPr>
              <w:t> </w:t>
            </w:r>
            <w:r>
              <w:rPr>
                <w:sz w:val="22"/>
              </w:rPr>
              <w:t>and</w:t>
            </w:r>
            <w:r>
              <w:rPr>
                <w:spacing w:val="-35"/>
                <w:sz w:val="22"/>
              </w:rPr>
              <w:t> </w:t>
            </w:r>
            <w:r>
              <w:rPr>
                <w:sz w:val="22"/>
              </w:rPr>
              <w:t>Access</w:t>
            </w:r>
            <w:r>
              <w:rPr>
                <w:spacing w:val="-23"/>
                <w:sz w:val="22"/>
              </w:rPr>
              <w:t> </w:t>
            </w:r>
            <w:r>
              <w:rPr>
                <w:sz w:val="22"/>
              </w:rPr>
              <w:t>Statement</w:t>
            </w:r>
            <w:r>
              <w:rPr>
                <w:spacing w:val="-23"/>
                <w:sz w:val="22"/>
              </w:rPr>
              <w:t> </w:t>
            </w:r>
            <w:r>
              <w:rPr>
                <w:sz w:val="22"/>
              </w:rPr>
              <w:t>(if</w:t>
            </w:r>
            <w:r>
              <w:rPr>
                <w:spacing w:val="-22"/>
                <w:sz w:val="22"/>
              </w:rPr>
              <w:t> </w:t>
            </w:r>
            <w:r>
              <w:rPr>
                <w:sz w:val="22"/>
              </w:rPr>
              <w:t>required</w:t>
            </w:r>
            <w:r>
              <w:rPr>
                <w:spacing w:val="-23"/>
                <w:sz w:val="22"/>
              </w:rPr>
              <w:t> </w:t>
            </w:r>
            <w:r>
              <w:rPr>
                <w:sz w:val="22"/>
              </w:rPr>
              <w:t>by</w:t>
            </w:r>
            <w:r>
              <w:rPr>
                <w:spacing w:val="-36"/>
                <w:sz w:val="22"/>
              </w:rPr>
              <w:t> </w:t>
            </w:r>
            <w:r>
              <w:rPr>
                <w:sz w:val="22"/>
              </w:rPr>
              <w:t>Article</w:t>
            </w:r>
            <w:r>
              <w:rPr>
                <w:spacing w:val="-23"/>
                <w:sz w:val="22"/>
              </w:rPr>
              <w:t> </w:t>
            </w:r>
            <w:r>
              <w:rPr>
                <w:sz w:val="22"/>
              </w:rPr>
              <w:t>6</w:t>
            </w:r>
            <w:r>
              <w:rPr>
                <w:spacing w:val="-23"/>
                <w:sz w:val="22"/>
              </w:rPr>
              <w:t> </w:t>
            </w:r>
            <w:r>
              <w:rPr>
                <w:sz w:val="22"/>
              </w:rPr>
              <w:t>of</w:t>
            </w:r>
            <w:r>
              <w:rPr>
                <w:spacing w:val="-26"/>
                <w:sz w:val="22"/>
              </w:rPr>
              <w:t> </w:t>
            </w:r>
            <w:r>
              <w:rPr>
                <w:sz w:val="22"/>
              </w:rPr>
              <w:t>The</w:t>
            </w:r>
            <w:r>
              <w:rPr>
                <w:spacing w:val="-23"/>
                <w:sz w:val="22"/>
              </w:rPr>
              <w:t> </w:t>
            </w:r>
            <w:r>
              <w:rPr>
                <w:sz w:val="22"/>
              </w:rPr>
              <w:t>Planning (General Development Procedure) Order (NI)</w:t>
            </w:r>
            <w:r>
              <w:rPr>
                <w:spacing w:val="-4"/>
                <w:sz w:val="22"/>
              </w:rPr>
              <w:t> </w:t>
            </w:r>
            <w:r>
              <w:rPr>
                <w:sz w:val="22"/>
              </w:rPr>
              <w:t>2015</w:t>
            </w:r>
          </w:p>
          <w:p>
            <w:pPr>
              <w:pStyle w:val="TableParagraph"/>
              <w:numPr>
                <w:ilvl w:val="0"/>
                <w:numId w:val="13"/>
              </w:numPr>
              <w:tabs>
                <w:tab w:pos="440" w:val="left" w:leader="none"/>
              </w:tabs>
              <w:spacing w:line="249" w:lineRule="auto" w:before="2" w:after="0"/>
              <w:ind w:left="439" w:right="58" w:hanging="360"/>
              <w:jc w:val="both"/>
              <w:rPr>
                <w:sz w:val="22"/>
              </w:rPr>
            </w:pPr>
            <w:r>
              <w:rPr>
                <w:sz w:val="22"/>
              </w:rPr>
              <w:t>Pre-Application Community Consultation Report where the application relates to development belonging to the category of major</w:t>
            </w:r>
            <w:r>
              <w:rPr>
                <w:spacing w:val="-1"/>
                <w:sz w:val="22"/>
              </w:rPr>
              <w:t> </w:t>
            </w:r>
            <w:r>
              <w:rPr>
                <w:sz w:val="22"/>
              </w:rPr>
              <w:t>development</w:t>
            </w:r>
          </w:p>
          <w:p>
            <w:pPr>
              <w:pStyle w:val="TableParagraph"/>
              <w:numPr>
                <w:ilvl w:val="0"/>
                <w:numId w:val="13"/>
              </w:numPr>
              <w:tabs>
                <w:tab w:pos="440" w:val="left" w:leader="none"/>
              </w:tabs>
              <w:spacing w:line="240" w:lineRule="auto" w:before="3" w:after="0"/>
              <w:ind w:left="440" w:right="0" w:hanging="360"/>
              <w:jc w:val="both"/>
              <w:rPr>
                <w:sz w:val="22"/>
              </w:rPr>
            </w:pPr>
            <w:r>
              <w:rPr>
                <w:sz w:val="22"/>
              </w:rPr>
              <w:t>P1c form if</w:t>
            </w:r>
            <w:r>
              <w:rPr>
                <w:spacing w:val="-2"/>
                <w:sz w:val="22"/>
              </w:rPr>
              <w:t> </w:t>
            </w:r>
            <w:r>
              <w:rPr>
                <w:sz w:val="22"/>
              </w:rPr>
              <w:t>applicable</w:t>
            </w:r>
          </w:p>
        </w:tc>
      </w:tr>
      <w:tr>
        <w:trPr>
          <w:trHeight w:val="828" w:hRule="atLeast"/>
        </w:trPr>
        <w:tc>
          <w:tcPr>
            <w:tcW w:w="2555" w:type="dxa"/>
            <w:shd w:val="clear" w:color="auto" w:fill="E2DDD9"/>
          </w:tcPr>
          <w:p>
            <w:pPr>
              <w:pStyle w:val="TableParagraph"/>
              <w:spacing w:line="249" w:lineRule="auto" w:before="19"/>
              <w:ind w:left="79"/>
              <w:rPr>
                <w:sz w:val="22"/>
              </w:rPr>
            </w:pPr>
            <w:r>
              <w:rPr>
                <w:sz w:val="22"/>
              </w:rPr>
              <w:t>Proposal of Application Notice (PAN)</w:t>
            </w:r>
          </w:p>
        </w:tc>
        <w:tc>
          <w:tcPr>
            <w:tcW w:w="7062" w:type="dxa"/>
          </w:tcPr>
          <w:p>
            <w:pPr>
              <w:pStyle w:val="TableParagraph"/>
              <w:numPr>
                <w:ilvl w:val="0"/>
                <w:numId w:val="14"/>
              </w:numPr>
              <w:tabs>
                <w:tab w:pos="439" w:val="left" w:leader="none"/>
                <w:tab w:pos="440" w:val="left" w:leader="none"/>
              </w:tabs>
              <w:spacing w:line="240" w:lineRule="auto" w:before="19" w:after="0"/>
              <w:ind w:left="439" w:right="0" w:hanging="361"/>
              <w:jc w:val="left"/>
              <w:rPr>
                <w:sz w:val="22"/>
              </w:rPr>
            </w:pPr>
            <w:r>
              <w:rPr>
                <w:sz w:val="22"/>
              </w:rPr>
              <w:t>Signed application</w:t>
            </w:r>
            <w:r>
              <w:rPr>
                <w:spacing w:val="-2"/>
                <w:sz w:val="22"/>
              </w:rPr>
              <w:t> </w:t>
            </w:r>
            <w:r>
              <w:rPr>
                <w:sz w:val="22"/>
              </w:rPr>
              <w:t>form</w:t>
            </w:r>
          </w:p>
          <w:p>
            <w:pPr>
              <w:pStyle w:val="TableParagraph"/>
              <w:numPr>
                <w:ilvl w:val="0"/>
                <w:numId w:val="14"/>
              </w:numPr>
              <w:tabs>
                <w:tab w:pos="439" w:val="left" w:leader="none"/>
                <w:tab w:pos="440" w:val="left" w:leader="none"/>
              </w:tabs>
              <w:spacing w:line="240" w:lineRule="auto" w:before="11" w:after="0"/>
              <w:ind w:left="439" w:right="0" w:hanging="361"/>
              <w:jc w:val="left"/>
              <w:rPr>
                <w:sz w:val="22"/>
              </w:rPr>
            </w:pPr>
            <w:r>
              <w:rPr>
                <w:sz w:val="22"/>
              </w:rPr>
              <w:t>Site Location</w:t>
            </w:r>
            <w:r>
              <w:rPr>
                <w:spacing w:val="-2"/>
                <w:sz w:val="22"/>
              </w:rPr>
              <w:t> </w:t>
            </w:r>
            <w:r>
              <w:rPr>
                <w:sz w:val="22"/>
              </w:rPr>
              <w:t>Plan</w:t>
            </w:r>
          </w:p>
        </w:tc>
      </w:tr>
      <w:tr>
        <w:trPr>
          <w:trHeight w:val="1356" w:hRule="atLeast"/>
        </w:trPr>
        <w:tc>
          <w:tcPr>
            <w:tcW w:w="2555" w:type="dxa"/>
            <w:shd w:val="clear" w:color="auto" w:fill="E2DDD9"/>
          </w:tcPr>
          <w:p>
            <w:pPr>
              <w:pStyle w:val="TableParagraph"/>
              <w:spacing w:line="249" w:lineRule="auto" w:before="19"/>
              <w:ind w:left="79" w:right="283"/>
              <w:rPr>
                <w:sz w:val="22"/>
              </w:rPr>
            </w:pPr>
            <w:r>
              <w:rPr>
                <w:sz w:val="22"/>
              </w:rPr>
              <w:t>Section 54 application to vary or remove a planning condition</w:t>
            </w:r>
          </w:p>
        </w:tc>
        <w:tc>
          <w:tcPr>
            <w:tcW w:w="7062" w:type="dxa"/>
          </w:tcPr>
          <w:p>
            <w:pPr>
              <w:pStyle w:val="TableParagraph"/>
              <w:numPr>
                <w:ilvl w:val="0"/>
                <w:numId w:val="15"/>
              </w:numPr>
              <w:tabs>
                <w:tab w:pos="439" w:val="left" w:leader="none"/>
                <w:tab w:pos="440" w:val="left" w:leader="none"/>
              </w:tabs>
              <w:spacing w:line="240" w:lineRule="auto" w:before="19" w:after="0"/>
              <w:ind w:left="439" w:right="0" w:hanging="361"/>
              <w:jc w:val="left"/>
              <w:rPr>
                <w:sz w:val="22"/>
              </w:rPr>
            </w:pPr>
            <w:r>
              <w:rPr>
                <w:sz w:val="22"/>
              </w:rPr>
              <w:t>Signed application</w:t>
            </w:r>
            <w:r>
              <w:rPr>
                <w:spacing w:val="-11"/>
                <w:sz w:val="22"/>
              </w:rPr>
              <w:t> </w:t>
            </w:r>
            <w:r>
              <w:rPr>
                <w:sz w:val="22"/>
              </w:rPr>
              <w:t>form</w:t>
            </w:r>
          </w:p>
          <w:p>
            <w:pPr>
              <w:pStyle w:val="TableParagraph"/>
              <w:numPr>
                <w:ilvl w:val="0"/>
                <w:numId w:val="15"/>
              </w:numPr>
              <w:tabs>
                <w:tab w:pos="439" w:val="left" w:leader="none"/>
                <w:tab w:pos="440" w:val="left" w:leader="none"/>
              </w:tabs>
              <w:spacing w:line="240" w:lineRule="auto" w:before="11" w:after="0"/>
              <w:ind w:left="439" w:right="0" w:hanging="361"/>
              <w:jc w:val="left"/>
              <w:rPr>
                <w:sz w:val="22"/>
              </w:rPr>
            </w:pPr>
            <w:r>
              <w:rPr>
                <w:sz w:val="22"/>
              </w:rPr>
              <w:t>Certificate of</w:t>
            </w:r>
            <w:r>
              <w:rPr>
                <w:spacing w:val="-22"/>
                <w:sz w:val="22"/>
              </w:rPr>
              <w:t> </w:t>
            </w:r>
            <w:r>
              <w:rPr>
                <w:sz w:val="22"/>
              </w:rPr>
              <w:t>ownership</w:t>
            </w:r>
          </w:p>
          <w:p>
            <w:pPr>
              <w:pStyle w:val="TableParagraph"/>
              <w:numPr>
                <w:ilvl w:val="0"/>
                <w:numId w:val="15"/>
              </w:numPr>
              <w:tabs>
                <w:tab w:pos="439" w:val="left" w:leader="none"/>
                <w:tab w:pos="440" w:val="left" w:leader="none"/>
              </w:tabs>
              <w:spacing w:line="249" w:lineRule="auto" w:before="11" w:after="0"/>
              <w:ind w:left="439" w:right="74" w:hanging="360"/>
              <w:jc w:val="left"/>
              <w:rPr>
                <w:sz w:val="22"/>
              </w:rPr>
            </w:pPr>
            <w:r>
              <w:rPr>
                <w:sz w:val="22"/>
              </w:rPr>
              <w:t>The correct fee in accordance with the current The Planning</w:t>
            </w:r>
            <w:r>
              <w:rPr>
                <w:spacing w:val="-20"/>
                <w:sz w:val="22"/>
              </w:rPr>
              <w:t> </w:t>
            </w:r>
            <w:r>
              <w:rPr>
                <w:sz w:val="22"/>
              </w:rPr>
              <w:t>(Fees) (Amendment) Regulations (Northern</w:t>
            </w:r>
            <w:r>
              <w:rPr>
                <w:spacing w:val="-2"/>
                <w:sz w:val="22"/>
              </w:rPr>
              <w:t> </w:t>
            </w:r>
            <w:r>
              <w:rPr>
                <w:sz w:val="22"/>
              </w:rPr>
              <w:t>Ireland)</w:t>
            </w:r>
          </w:p>
        </w:tc>
      </w:tr>
    </w:tbl>
    <w:p>
      <w:pPr>
        <w:spacing w:after="0" w:line="249" w:lineRule="auto"/>
        <w:jc w:val="left"/>
        <w:rPr>
          <w:sz w:val="22"/>
        </w:rPr>
        <w:sectPr>
          <w:pgSz w:w="11910" w:h="16840"/>
          <w:pgMar w:header="0" w:footer="668" w:top="1120" w:bottom="860" w:left="1020" w:right="1020"/>
        </w:sectPr>
      </w:pPr>
    </w:p>
    <w:p>
      <w:pPr>
        <w:pStyle w:val="Heading1"/>
      </w:pPr>
      <w:r>
        <w:rPr>
          <w:color w:val="EE3825"/>
        </w:rPr>
        <w:t>Appendix 1 - Information Checklist</w:t>
      </w:r>
    </w:p>
    <w:p>
      <w:pPr>
        <w:pStyle w:val="BodyText"/>
        <w:spacing w:before="3"/>
        <w:rPr>
          <w:rFonts w:ascii="Bommer Slab"/>
          <w:b/>
          <w:sz w:val="24"/>
        </w:rPr>
      </w:pPr>
    </w:p>
    <w:p>
      <w:pPr>
        <w:pStyle w:val="BodyText"/>
        <w:ind w:left="113"/>
      </w:pPr>
      <w:r>
        <w:rPr/>
        <w:t>This must be completed by the applicant/agent and submitted with the application.</w:t>
      </w:r>
    </w:p>
    <w:p>
      <w:pPr>
        <w:pStyle w:val="BodyText"/>
        <w:rPr>
          <w:sz w:val="20"/>
        </w:rPr>
      </w:pPr>
    </w:p>
    <w:p>
      <w:pPr>
        <w:pStyle w:val="BodyText"/>
        <w:spacing w:before="2"/>
        <w:rPr>
          <w:sz w:val="28"/>
        </w:rPr>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31"/>
        <w:gridCol w:w="935"/>
        <w:gridCol w:w="921"/>
        <w:gridCol w:w="2031"/>
      </w:tblGrid>
      <w:tr>
        <w:trPr>
          <w:trHeight w:val="602" w:hRule="atLeast"/>
        </w:trPr>
        <w:tc>
          <w:tcPr>
            <w:tcW w:w="5631" w:type="dxa"/>
            <w:shd w:val="clear" w:color="auto" w:fill="0697AA"/>
          </w:tcPr>
          <w:p>
            <w:pPr>
              <w:pStyle w:val="TableParagraph"/>
              <w:spacing w:before="19"/>
              <w:ind w:left="80"/>
              <w:rPr>
                <w:b/>
                <w:sz w:val="24"/>
              </w:rPr>
            </w:pPr>
            <w:r>
              <w:rPr>
                <w:b/>
                <w:color w:val="FFFFFF"/>
                <w:sz w:val="24"/>
              </w:rPr>
              <w:t>Basic Requirements</w:t>
            </w:r>
          </w:p>
          <w:p>
            <w:pPr>
              <w:pStyle w:val="TableParagraph"/>
              <w:spacing w:line="275" w:lineRule="exact" w:before="12"/>
              <w:ind w:left="80"/>
              <w:rPr>
                <w:sz w:val="24"/>
              </w:rPr>
            </w:pPr>
            <w:r>
              <w:rPr>
                <w:color w:val="FFFFFF"/>
                <w:sz w:val="24"/>
              </w:rPr>
              <w:t>(must be completed for all applications)</w:t>
            </w:r>
          </w:p>
        </w:tc>
        <w:tc>
          <w:tcPr>
            <w:tcW w:w="935" w:type="dxa"/>
            <w:shd w:val="clear" w:color="auto" w:fill="0697AA"/>
          </w:tcPr>
          <w:p>
            <w:pPr>
              <w:pStyle w:val="TableParagraph"/>
              <w:spacing w:before="19"/>
              <w:ind w:left="79"/>
              <w:rPr>
                <w:b/>
                <w:sz w:val="24"/>
              </w:rPr>
            </w:pPr>
            <w:r>
              <w:rPr>
                <w:b/>
                <w:color w:val="FFFFFF"/>
                <w:sz w:val="24"/>
              </w:rPr>
              <w:t>Yes</w:t>
            </w:r>
          </w:p>
        </w:tc>
        <w:tc>
          <w:tcPr>
            <w:tcW w:w="921" w:type="dxa"/>
            <w:shd w:val="clear" w:color="auto" w:fill="0697AA"/>
          </w:tcPr>
          <w:p>
            <w:pPr>
              <w:pStyle w:val="TableParagraph"/>
              <w:spacing w:before="19"/>
              <w:ind w:left="80"/>
              <w:rPr>
                <w:b/>
                <w:sz w:val="24"/>
              </w:rPr>
            </w:pPr>
            <w:r>
              <w:rPr>
                <w:b/>
                <w:color w:val="FFFFFF"/>
                <w:sz w:val="24"/>
              </w:rPr>
              <w:t>N/A</w:t>
            </w:r>
          </w:p>
        </w:tc>
        <w:tc>
          <w:tcPr>
            <w:tcW w:w="2031" w:type="dxa"/>
            <w:shd w:val="clear" w:color="auto" w:fill="0697AA"/>
          </w:tcPr>
          <w:p>
            <w:pPr>
              <w:pStyle w:val="TableParagraph"/>
              <w:spacing w:before="19"/>
              <w:ind w:left="80"/>
              <w:rPr>
                <w:b/>
                <w:sz w:val="24"/>
              </w:rPr>
            </w:pPr>
            <w:r>
              <w:rPr>
                <w:b/>
                <w:color w:val="FFFFFF"/>
                <w:sz w:val="24"/>
              </w:rPr>
              <w:t>Official Use</w:t>
            </w:r>
          </w:p>
          <w:p>
            <w:pPr>
              <w:pStyle w:val="TableParagraph"/>
              <w:spacing w:line="275" w:lineRule="exact" w:before="12"/>
              <w:ind w:left="80"/>
              <w:rPr>
                <w:b/>
                <w:sz w:val="24"/>
              </w:rPr>
            </w:pPr>
            <w:r>
              <w:rPr>
                <w:b/>
                <w:color w:val="FFFFFF"/>
                <w:sz w:val="24"/>
              </w:rPr>
              <w:t>Only</w:t>
            </w:r>
          </w:p>
        </w:tc>
      </w:tr>
      <w:tr>
        <w:trPr>
          <w:trHeight w:val="314" w:hRule="atLeast"/>
        </w:trPr>
        <w:tc>
          <w:tcPr>
            <w:tcW w:w="5631" w:type="dxa"/>
            <w:shd w:val="clear" w:color="auto" w:fill="E2DDD9"/>
          </w:tcPr>
          <w:p>
            <w:pPr>
              <w:pStyle w:val="TableParagraph"/>
              <w:spacing w:before="24"/>
              <w:ind w:left="80"/>
              <w:rPr>
                <w:sz w:val="22"/>
              </w:rPr>
            </w:pPr>
            <w:r>
              <w:rPr>
                <w:sz w:val="22"/>
              </w:rPr>
              <w:t>Signed application form</w:t>
            </w:r>
          </w:p>
        </w:tc>
        <w:tc>
          <w:tcPr>
            <w:tcW w:w="935" w:type="dxa"/>
          </w:tcPr>
          <w:p>
            <w:pPr>
              <w:pStyle w:val="TableParagraph"/>
              <w:spacing w:before="0"/>
              <w:ind w:left="0"/>
              <w:rPr>
                <w:rFonts w:ascii="Times New Roman"/>
                <w:sz w:val="22"/>
              </w:rPr>
            </w:pPr>
          </w:p>
        </w:tc>
        <w:tc>
          <w:tcPr>
            <w:tcW w:w="921" w:type="dxa"/>
          </w:tcPr>
          <w:p>
            <w:pPr>
              <w:pStyle w:val="TableParagraph"/>
              <w:spacing w:before="0"/>
              <w:ind w:left="0"/>
              <w:rPr>
                <w:rFonts w:ascii="Times New Roman"/>
                <w:sz w:val="22"/>
              </w:rPr>
            </w:pPr>
          </w:p>
        </w:tc>
        <w:tc>
          <w:tcPr>
            <w:tcW w:w="2031" w:type="dxa"/>
          </w:tcPr>
          <w:p>
            <w:pPr>
              <w:pStyle w:val="TableParagraph"/>
              <w:spacing w:before="0"/>
              <w:ind w:left="0"/>
              <w:rPr>
                <w:rFonts w:ascii="Times New Roman"/>
                <w:sz w:val="22"/>
              </w:rPr>
            </w:pPr>
          </w:p>
        </w:tc>
      </w:tr>
      <w:tr>
        <w:trPr>
          <w:trHeight w:val="314" w:hRule="atLeast"/>
        </w:trPr>
        <w:tc>
          <w:tcPr>
            <w:tcW w:w="5631" w:type="dxa"/>
            <w:shd w:val="clear" w:color="auto" w:fill="E2DDD9"/>
          </w:tcPr>
          <w:p>
            <w:pPr>
              <w:pStyle w:val="TableParagraph"/>
              <w:spacing w:before="23"/>
              <w:ind w:left="80"/>
              <w:rPr>
                <w:sz w:val="22"/>
              </w:rPr>
            </w:pPr>
            <w:r>
              <w:rPr>
                <w:sz w:val="22"/>
              </w:rPr>
              <w:t>The site is address accurately described</w:t>
            </w:r>
          </w:p>
        </w:tc>
        <w:tc>
          <w:tcPr>
            <w:tcW w:w="935" w:type="dxa"/>
          </w:tcPr>
          <w:p>
            <w:pPr>
              <w:pStyle w:val="TableParagraph"/>
              <w:spacing w:before="0"/>
              <w:ind w:left="0"/>
              <w:rPr>
                <w:rFonts w:ascii="Times New Roman"/>
                <w:sz w:val="22"/>
              </w:rPr>
            </w:pPr>
          </w:p>
        </w:tc>
        <w:tc>
          <w:tcPr>
            <w:tcW w:w="921" w:type="dxa"/>
          </w:tcPr>
          <w:p>
            <w:pPr>
              <w:pStyle w:val="TableParagraph"/>
              <w:spacing w:before="0"/>
              <w:ind w:left="0"/>
              <w:rPr>
                <w:rFonts w:ascii="Times New Roman"/>
                <w:sz w:val="22"/>
              </w:rPr>
            </w:pPr>
          </w:p>
        </w:tc>
        <w:tc>
          <w:tcPr>
            <w:tcW w:w="2031" w:type="dxa"/>
          </w:tcPr>
          <w:p>
            <w:pPr>
              <w:pStyle w:val="TableParagraph"/>
              <w:spacing w:before="0"/>
              <w:ind w:left="0"/>
              <w:rPr>
                <w:rFonts w:ascii="Times New Roman"/>
                <w:sz w:val="22"/>
              </w:rPr>
            </w:pPr>
          </w:p>
        </w:tc>
      </w:tr>
      <w:tr>
        <w:trPr>
          <w:trHeight w:val="314" w:hRule="atLeast"/>
        </w:trPr>
        <w:tc>
          <w:tcPr>
            <w:tcW w:w="5631" w:type="dxa"/>
            <w:shd w:val="clear" w:color="auto" w:fill="E2DDD9"/>
          </w:tcPr>
          <w:p>
            <w:pPr>
              <w:pStyle w:val="TableParagraph"/>
              <w:spacing w:before="23"/>
              <w:ind w:left="80"/>
              <w:rPr>
                <w:sz w:val="22"/>
              </w:rPr>
            </w:pPr>
            <w:r>
              <w:rPr>
                <w:sz w:val="22"/>
              </w:rPr>
              <w:t>The correct fee has been submitted</w:t>
            </w:r>
          </w:p>
        </w:tc>
        <w:tc>
          <w:tcPr>
            <w:tcW w:w="935" w:type="dxa"/>
          </w:tcPr>
          <w:p>
            <w:pPr>
              <w:pStyle w:val="TableParagraph"/>
              <w:spacing w:before="0"/>
              <w:ind w:left="0"/>
              <w:rPr>
                <w:rFonts w:ascii="Times New Roman"/>
                <w:sz w:val="22"/>
              </w:rPr>
            </w:pPr>
          </w:p>
        </w:tc>
        <w:tc>
          <w:tcPr>
            <w:tcW w:w="921" w:type="dxa"/>
          </w:tcPr>
          <w:p>
            <w:pPr>
              <w:pStyle w:val="TableParagraph"/>
              <w:spacing w:before="0"/>
              <w:ind w:left="0"/>
              <w:rPr>
                <w:rFonts w:ascii="Times New Roman"/>
                <w:sz w:val="22"/>
              </w:rPr>
            </w:pPr>
          </w:p>
        </w:tc>
        <w:tc>
          <w:tcPr>
            <w:tcW w:w="2031" w:type="dxa"/>
          </w:tcPr>
          <w:p>
            <w:pPr>
              <w:pStyle w:val="TableParagraph"/>
              <w:spacing w:before="0"/>
              <w:ind w:left="0"/>
              <w:rPr>
                <w:rFonts w:ascii="Times New Roman"/>
                <w:sz w:val="22"/>
              </w:rPr>
            </w:pPr>
          </w:p>
        </w:tc>
      </w:tr>
      <w:tr>
        <w:trPr>
          <w:trHeight w:val="564" w:hRule="atLeast"/>
        </w:trPr>
        <w:tc>
          <w:tcPr>
            <w:tcW w:w="5631" w:type="dxa"/>
            <w:shd w:val="clear" w:color="auto" w:fill="E2DDD9"/>
          </w:tcPr>
          <w:p>
            <w:pPr>
              <w:pStyle w:val="TableParagraph"/>
              <w:spacing w:line="260" w:lineRule="atLeast" w:before="16"/>
              <w:ind w:left="80" w:right="179"/>
              <w:rPr>
                <w:sz w:val="22"/>
              </w:rPr>
            </w:pPr>
            <w:r>
              <w:rPr>
                <w:sz w:val="22"/>
              </w:rPr>
              <w:t>An accurate description of the proposal which matches the drawings submitted</w:t>
            </w:r>
          </w:p>
        </w:tc>
        <w:tc>
          <w:tcPr>
            <w:tcW w:w="935" w:type="dxa"/>
          </w:tcPr>
          <w:p>
            <w:pPr>
              <w:pStyle w:val="TableParagraph"/>
              <w:spacing w:before="0"/>
              <w:ind w:left="0"/>
              <w:rPr>
                <w:rFonts w:ascii="Times New Roman"/>
                <w:sz w:val="22"/>
              </w:rPr>
            </w:pPr>
          </w:p>
        </w:tc>
        <w:tc>
          <w:tcPr>
            <w:tcW w:w="921" w:type="dxa"/>
          </w:tcPr>
          <w:p>
            <w:pPr>
              <w:pStyle w:val="TableParagraph"/>
              <w:spacing w:before="0"/>
              <w:ind w:left="0"/>
              <w:rPr>
                <w:rFonts w:ascii="Times New Roman"/>
                <w:sz w:val="22"/>
              </w:rPr>
            </w:pPr>
          </w:p>
        </w:tc>
        <w:tc>
          <w:tcPr>
            <w:tcW w:w="2031" w:type="dxa"/>
          </w:tcPr>
          <w:p>
            <w:pPr>
              <w:pStyle w:val="TableParagraph"/>
              <w:spacing w:before="0"/>
              <w:ind w:left="0"/>
              <w:rPr>
                <w:rFonts w:ascii="Times New Roman"/>
                <w:sz w:val="22"/>
              </w:rPr>
            </w:pPr>
          </w:p>
        </w:tc>
      </w:tr>
      <w:tr>
        <w:trPr>
          <w:trHeight w:val="314" w:hRule="atLeast"/>
        </w:trPr>
        <w:tc>
          <w:tcPr>
            <w:tcW w:w="5631" w:type="dxa"/>
            <w:shd w:val="clear" w:color="auto" w:fill="E2DDD9"/>
          </w:tcPr>
          <w:p>
            <w:pPr>
              <w:pStyle w:val="TableParagraph"/>
              <w:spacing w:before="23"/>
              <w:ind w:left="80"/>
              <w:rPr>
                <w:sz w:val="22"/>
              </w:rPr>
            </w:pPr>
            <w:r>
              <w:rPr>
                <w:sz w:val="22"/>
              </w:rPr>
              <w:t>The applicant and agents address</w:t>
            </w:r>
          </w:p>
        </w:tc>
        <w:tc>
          <w:tcPr>
            <w:tcW w:w="935" w:type="dxa"/>
          </w:tcPr>
          <w:p>
            <w:pPr>
              <w:pStyle w:val="TableParagraph"/>
              <w:spacing w:before="0"/>
              <w:ind w:left="0"/>
              <w:rPr>
                <w:rFonts w:ascii="Times New Roman"/>
                <w:sz w:val="22"/>
              </w:rPr>
            </w:pPr>
          </w:p>
        </w:tc>
        <w:tc>
          <w:tcPr>
            <w:tcW w:w="921" w:type="dxa"/>
          </w:tcPr>
          <w:p>
            <w:pPr>
              <w:pStyle w:val="TableParagraph"/>
              <w:spacing w:before="0"/>
              <w:ind w:left="0"/>
              <w:rPr>
                <w:rFonts w:ascii="Times New Roman"/>
                <w:sz w:val="22"/>
              </w:rPr>
            </w:pPr>
          </w:p>
        </w:tc>
        <w:tc>
          <w:tcPr>
            <w:tcW w:w="2031" w:type="dxa"/>
          </w:tcPr>
          <w:p>
            <w:pPr>
              <w:pStyle w:val="TableParagraph"/>
              <w:spacing w:before="0"/>
              <w:ind w:left="0"/>
              <w:rPr>
                <w:rFonts w:ascii="Times New Roman"/>
                <w:sz w:val="22"/>
              </w:rPr>
            </w:pPr>
          </w:p>
        </w:tc>
      </w:tr>
      <w:tr>
        <w:trPr>
          <w:trHeight w:val="300" w:hRule="atLeast"/>
        </w:trPr>
        <w:tc>
          <w:tcPr>
            <w:tcW w:w="5631" w:type="dxa"/>
            <w:shd w:val="clear" w:color="auto" w:fill="E2DDD9"/>
          </w:tcPr>
          <w:p>
            <w:pPr>
              <w:pStyle w:val="TableParagraph"/>
              <w:spacing w:before="23"/>
              <w:ind w:left="80"/>
              <w:rPr>
                <w:sz w:val="22"/>
              </w:rPr>
            </w:pPr>
            <w:r>
              <w:rPr>
                <w:sz w:val="22"/>
              </w:rPr>
              <w:t>The correct neighbours identified</w:t>
            </w:r>
          </w:p>
        </w:tc>
        <w:tc>
          <w:tcPr>
            <w:tcW w:w="935" w:type="dxa"/>
          </w:tcPr>
          <w:p>
            <w:pPr>
              <w:pStyle w:val="TableParagraph"/>
              <w:spacing w:before="0"/>
              <w:ind w:left="0"/>
              <w:rPr>
                <w:rFonts w:ascii="Times New Roman"/>
                <w:sz w:val="22"/>
              </w:rPr>
            </w:pPr>
          </w:p>
        </w:tc>
        <w:tc>
          <w:tcPr>
            <w:tcW w:w="921" w:type="dxa"/>
          </w:tcPr>
          <w:p>
            <w:pPr>
              <w:pStyle w:val="TableParagraph"/>
              <w:spacing w:before="0"/>
              <w:ind w:left="0"/>
              <w:rPr>
                <w:rFonts w:ascii="Times New Roman"/>
                <w:sz w:val="22"/>
              </w:rPr>
            </w:pPr>
          </w:p>
        </w:tc>
        <w:tc>
          <w:tcPr>
            <w:tcW w:w="2031" w:type="dxa"/>
          </w:tcPr>
          <w:p>
            <w:pPr>
              <w:pStyle w:val="TableParagraph"/>
              <w:spacing w:before="0"/>
              <w:ind w:left="0"/>
              <w:rPr>
                <w:rFonts w:ascii="Times New Roman"/>
                <w:sz w:val="22"/>
              </w:rPr>
            </w:pPr>
          </w:p>
        </w:tc>
      </w:tr>
      <w:tr>
        <w:trPr>
          <w:trHeight w:val="314" w:hRule="atLeast"/>
        </w:trPr>
        <w:tc>
          <w:tcPr>
            <w:tcW w:w="5631" w:type="dxa"/>
            <w:shd w:val="clear" w:color="auto" w:fill="E2DDD9"/>
          </w:tcPr>
          <w:p>
            <w:pPr>
              <w:pStyle w:val="TableParagraph"/>
              <w:spacing w:before="23"/>
              <w:ind w:left="80"/>
              <w:rPr>
                <w:sz w:val="22"/>
              </w:rPr>
            </w:pPr>
            <w:r>
              <w:rPr>
                <w:sz w:val="22"/>
              </w:rPr>
              <w:t>Certificate of ownership has been signed</w:t>
            </w:r>
          </w:p>
        </w:tc>
        <w:tc>
          <w:tcPr>
            <w:tcW w:w="935" w:type="dxa"/>
          </w:tcPr>
          <w:p>
            <w:pPr>
              <w:pStyle w:val="TableParagraph"/>
              <w:spacing w:before="0"/>
              <w:ind w:left="0"/>
              <w:rPr>
                <w:rFonts w:ascii="Times New Roman"/>
                <w:sz w:val="22"/>
              </w:rPr>
            </w:pPr>
          </w:p>
        </w:tc>
        <w:tc>
          <w:tcPr>
            <w:tcW w:w="921" w:type="dxa"/>
          </w:tcPr>
          <w:p>
            <w:pPr>
              <w:pStyle w:val="TableParagraph"/>
              <w:spacing w:before="0"/>
              <w:ind w:left="0"/>
              <w:rPr>
                <w:rFonts w:ascii="Times New Roman"/>
                <w:sz w:val="22"/>
              </w:rPr>
            </w:pPr>
          </w:p>
        </w:tc>
        <w:tc>
          <w:tcPr>
            <w:tcW w:w="2031" w:type="dxa"/>
          </w:tcPr>
          <w:p>
            <w:pPr>
              <w:pStyle w:val="TableParagraph"/>
              <w:spacing w:before="0"/>
              <w:ind w:left="0"/>
              <w:rPr>
                <w:rFonts w:ascii="Times New Roman"/>
                <w:sz w:val="22"/>
              </w:rPr>
            </w:pPr>
          </w:p>
        </w:tc>
      </w:tr>
      <w:tr>
        <w:trPr>
          <w:trHeight w:val="314" w:hRule="atLeast"/>
        </w:trPr>
        <w:tc>
          <w:tcPr>
            <w:tcW w:w="5631" w:type="dxa"/>
            <w:shd w:val="clear" w:color="auto" w:fill="E2DDD9"/>
          </w:tcPr>
          <w:p>
            <w:pPr>
              <w:pStyle w:val="TableParagraph"/>
              <w:spacing w:before="23"/>
              <w:ind w:left="80"/>
              <w:rPr>
                <w:sz w:val="22"/>
              </w:rPr>
            </w:pPr>
            <w:r>
              <w:rPr>
                <w:sz w:val="22"/>
              </w:rPr>
              <w:t>Site location plan</w:t>
            </w:r>
          </w:p>
        </w:tc>
        <w:tc>
          <w:tcPr>
            <w:tcW w:w="935" w:type="dxa"/>
          </w:tcPr>
          <w:p>
            <w:pPr>
              <w:pStyle w:val="TableParagraph"/>
              <w:spacing w:before="0"/>
              <w:ind w:left="0"/>
              <w:rPr>
                <w:rFonts w:ascii="Times New Roman"/>
                <w:sz w:val="22"/>
              </w:rPr>
            </w:pPr>
          </w:p>
        </w:tc>
        <w:tc>
          <w:tcPr>
            <w:tcW w:w="921" w:type="dxa"/>
          </w:tcPr>
          <w:p>
            <w:pPr>
              <w:pStyle w:val="TableParagraph"/>
              <w:spacing w:before="0"/>
              <w:ind w:left="0"/>
              <w:rPr>
                <w:rFonts w:ascii="Times New Roman"/>
                <w:sz w:val="22"/>
              </w:rPr>
            </w:pPr>
          </w:p>
        </w:tc>
        <w:tc>
          <w:tcPr>
            <w:tcW w:w="2031" w:type="dxa"/>
          </w:tcPr>
          <w:p>
            <w:pPr>
              <w:pStyle w:val="TableParagraph"/>
              <w:spacing w:before="0"/>
              <w:ind w:left="0"/>
              <w:rPr>
                <w:rFonts w:ascii="Times New Roman"/>
                <w:sz w:val="22"/>
              </w:rPr>
            </w:pPr>
          </w:p>
        </w:tc>
      </w:tr>
      <w:tr>
        <w:trPr>
          <w:trHeight w:val="314" w:hRule="atLeast"/>
        </w:trPr>
        <w:tc>
          <w:tcPr>
            <w:tcW w:w="5631" w:type="dxa"/>
            <w:shd w:val="clear" w:color="auto" w:fill="E2DDD9"/>
          </w:tcPr>
          <w:p>
            <w:pPr>
              <w:pStyle w:val="TableParagraph"/>
              <w:spacing w:before="23"/>
              <w:ind w:left="80"/>
              <w:rPr>
                <w:sz w:val="22"/>
              </w:rPr>
            </w:pPr>
            <w:r>
              <w:rPr>
                <w:sz w:val="22"/>
              </w:rPr>
              <w:t>Necessary plans and drawings</w:t>
            </w:r>
          </w:p>
        </w:tc>
        <w:tc>
          <w:tcPr>
            <w:tcW w:w="935" w:type="dxa"/>
          </w:tcPr>
          <w:p>
            <w:pPr>
              <w:pStyle w:val="TableParagraph"/>
              <w:spacing w:before="0"/>
              <w:ind w:left="0"/>
              <w:rPr>
                <w:rFonts w:ascii="Times New Roman"/>
                <w:sz w:val="22"/>
              </w:rPr>
            </w:pPr>
          </w:p>
        </w:tc>
        <w:tc>
          <w:tcPr>
            <w:tcW w:w="921" w:type="dxa"/>
          </w:tcPr>
          <w:p>
            <w:pPr>
              <w:pStyle w:val="TableParagraph"/>
              <w:spacing w:before="0"/>
              <w:ind w:left="0"/>
              <w:rPr>
                <w:rFonts w:ascii="Times New Roman"/>
                <w:sz w:val="22"/>
              </w:rPr>
            </w:pPr>
          </w:p>
        </w:tc>
        <w:tc>
          <w:tcPr>
            <w:tcW w:w="2031" w:type="dxa"/>
          </w:tcPr>
          <w:p>
            <w:pPr>
              <w:pStyle w:val="TableParagraph"/>
              <w:spacing w:before="0"/>
              <w:ind w:left="0"/>
              <w:rPr>
                <w:rFonts w:ascii="Times New Roman"/>
                <w:sz w:val="22"/>
              </w:rPr>
            </w:pPr>
          </w:p>
        </w:tc>
      </w:tr>
      <w:tr>
        <w:trPr>
          <w:trHeight w:val="314" w:hRule="atLeast"/>
        </w:trPr>
        <w:tc>
          <w:tcPr>
            <w:tcW w:w="5631" w:type="dxa"/>
            <w:shd w:val="clear" w:color="auto" w:fill="E2DDD9"/>
          </w:tcPr>
          <w:p>
            <w:pPr>
              <w:pStyle w:val="TableParagraph"/>
              <w:spacing w:before="23"/>
              <w:ind w:left="80"/>
              <w:rPr>
                <w:sz w:val="22"/>
              </w:rPr>
            </w:pPr>
            <w:r>
              <w:rPr>
                <w:sz w:val="22"/>
              </w:rPr>
              <w:t>Design and Access Statement</w:t>
            </w:r>
          </w:p>
        </w:tc>
        <w:tc>
          <w:tcPr>
            <w:tcW w:w="935" w:type="dxa"/>
          </w:tcPr>
          <w:p>
            <w:pPr>
              <w:pStyle w:val="TableParagraph"/>
              <w:spacing w:before="0"/>
              <w:ind w:left="0"/>
              <w:rPr>
                <w:rFonts w:ascii="Times New Roman"/>
                <w:sz w:val="22"/>
              </w:rPr>
            </w:pPr>
          </w:p>
        </w:tc>
        <w:tc>
          <w:tcPr>
            <w:tcW w:w="921" w:type="dxa"/>
          </w:tcPr>
          <w:p>
            <w:pPr>
              <w:pStyle w:val="TableParagraph"/>
              <w:spacing w:before="0"/>
              <w:ind w:left="0"/>
              <w:rPr>
                <w:rFonts w:ascii="Times New Roman"/>
                <w:sz w:val="22"/>
              </w:rPr>
            </w:pPr>
          </w:p>
        </w:tc>
        <w:tc>
          <w:tcPr>
            <w:tcW w:w="2031" w:type="dxa"/>
          </w:tcPr>
          <w:p>
            <w:pPr>
              <w:pStyle w:val="TableParagraph"/>
              <w:spacing w:before="0"/>
              <w:ind w:left="0"/>
              <w:rPr>
                <w:rFonts w:ascii="Times New Roman"/>
                <w:sz w:val="22"/>
              </w:rPr>
            </w:pPr>
          </w:p>
        </w:tc>
      </w:tr>
      <w:tr>
        <w:trPr>
          <w:trHeight w:val="828" w:hRule="atLeast"/>
        </w:trPr>
        <w:tc>
          <w:tcPr>
            <w:tcW w:w="5631" w:type="dxa"/>
            <w:shd w:val="clear" w:color="auto" w:fill="E2DDD9"/>
          </w:tcPr>
          <w:p>
            <w:pPr>
              <w:pStyle w:val="TableParagraph"/>
              <w:spacing w:line="260" w:lineRule="atLeast" w:before="16"/>
              <w:ind w:left="80" w:right="279"/>
              <w:rPr>
                <w:sz w:val="22"/>
              </w:rPr>
            </w:pPr>
            <w:r>
              <w:rPr>
                <w:sz w:val="22"/>
              </w:rPr>
              <w:t>If a PAN has been submitted the application includes a Pre Application Community Consultation report for Major planning applications.</w:t>
            </w:r>
          </w:p>
        </w:tc>
        <w:tc>
          <w:tcPr>
            <w:tcW w:w="935" w:type="dxa"/>
          </w:tcPr>
          <w:p>
            <w:pPr>
              <w:pStyle w:val="TableParagraph"/>
              <w:spacing w:before="0"/>
              <w:ind w:left="0"/>
              <w:rPr>
                <w:rFonts w:ascii="Times New Roman"/>
                <w:sz w:val="22"/>
              </w:rPr>
            </w:pPr>
          </w:p>
        </w:tc>
        <w:tc>
          <w:tcPr>
            <w:tcW w:w="921" w:type="dxa"/>
          </w:tcPr>
          <w:p>
            <w:pPr>
              <w:pStyle w:val="TableParagraph"/>
              <w:spacing w:before="0"/>
              <w:ind w:left="0"/>
              <w:rPr>
                <w:rFonts w:ascii="Times New Roman"/>
                <w:sz w:val="22"/>
              </w:rPr>
            </w:pPr>
          </w:p>
        </w:tc>
        <w:tc>
          <w:tcPr>
            <w:tcW w:w="2031" w:type="dxa"/>
          </w:tcPr>
          <w:p>
            <w:pPr>
              <w:pStyle w:val="TableParagraph"/>
              <w:spacing w:before="0"/>
              <w:ind w:left="0"/>
              <w:rPr>
                <w:rFonts w:ascii="Times New Roman"/>
                <w:sz w:val="22"/>
              </w:rPr>
            </w:pPr>
          </w:p>
        </w:tc>
      </w:tr>
    </w:tbl>
    <w:p>
      <w:pPr>
        <w:pStyle w:val="BodyText"/>
        <w:rPr>
          <w:sz w:val="20"/>
        </w:rPr>
      </w:pPr>
    </w:p>
    <w:p>
      <w:pPr>
        <w:pStyle w:val="BodyText"/>
        <w:rPr>
          <w:sz w:val="20"/>
        </w:rPr>
      </w:pPr>
    </w:p>
    <w:p>
      <w:pPr>
        <w:pStyle w:val="BodyText"/>
        <w:spacing w:before="1"/>
        <w:rPr>
          <w:sz w:val="10"/>
        </w:rPr>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31"/>
        <w:gridCol w:w="3888"/>
      </w:tblGrid>
      <w:tr>
        <w:trPr>
          <w:trHeight w:val="423" w:hRule="atLeast"/>
        </w:trPr>
        <w:tc>
          <w:tcPr>
            <w:tcW w:w="9519" w:type="dxa"/>
            <w:gridSpan w:val="2"/>
            <w:shd w:val="clear" w:color="auto" w:fill="0697AA"/>
          </w:tcPr>
          <w:p>
            <w:pPr>
              <w:pStyle w:val="TableParagraph"/>
              <w:spacing w:before="19"/>
              <w:ind w:left="80"/>
              <w:rPr>
                <w:b/>
                <w:sz w:val="24"/>
              </w:rPr>
            </w:pPr>
            <w:r>
              <w:rPr>
                <w:b/>
                <w:color w:val="FFFFFF"/>
                <w:sz w:val="24"/>
              </w:rPr>
              <w:t>Official Use Only</w:t>
            </w:r>
          </w:p>
        </w:tc>
      </w:tr>
      <w:tr>
        <w:trPr>
          <w:trHeight w:val="314" w:hRule="atLeast"/>
        </w:trPr>
        <w:tc>
          <w:tcPr>
            <w:tcW w:w="5631" w:type="dxa"/>
            <w:shd w:val="clear" w:color="auto" w:fill="E2DDD9"/>
          </w:tcPr>
          <w:p>
            <w:pPr>
              <w:pStyle w:val="TableParagraph"/>
              <w:spacing w:before="24"/>
              <w:ind w:left="80"/>
              <w:rPr>
                <w:sz w:val="22"/>
              </w:rPr>
            </w:pPr>
            <w:r>
              <w:rPr>
                <w:sz w:val="22"/>
              </w:rPr>
              <w:t>Basic requirements met</w:t>
            </w:r>
          </w:p>
        </w:tc>
        <w:tc>
          <w:tcPr>
            <w:tcW w:w="3888" w:type="dxa"/>
          </w:tcPr>
          <w:p>
            <w:pPr>
              <w:pStyle w:val="TableParagraph"/>
              <w:spacing w:line="275" w:lineRule="exact" w:before="19"/>
              <w:ind w:left="142"/>
              <w:rPr>
                <w:sz w:val="24"/>
              </w:rPr>
            </w:pPr>
            <w:r>
              <w:rPr>
                <w:sz w:val="24"/>
              </w:rPr>
              <w:t>Yes / No</w:t>
            </w:r>
          </w:p>
        </w:tc>
      </w:tr>
      <w:tr>
        <w:trPr>
          <w:trHeight w:val="314" w:hRule="atLeast"/>
        </w:trPr>
        <w:tc>
          <w:tcPr>
            <w:tcW w:w="5631" w:type="dxa"/>
            <w:shd w:val="clear" w:color="auto" w:fill="E2DDD9"/>
          </w:tcPr>
          <w:p>
            <w:pPr>
              <w:pStyle w:val="TableParagraph"/>
              <w:spacing w:before="24"/>
              <w:ind w:left="80"/>
              <w:rPr>
                <w:sz w:val="22"/>
              </w:rPr>
            </w:pPr>
            <w:r>
              <w:rPr>
                <w:sz w:val="22"/>
              </w:rPr>
              <w:t>Additional information requirements met</w:t>
            </w:r>
          </w:p>
        </w:tc>
        <w:tc>
          <w:tcPr>
            <w:tcW w:w="3888" w:type="dxa"/>
          </w:tcPr>
          <w:p>
            <w:pPr>
              <w:pStyle w:val="TableParagraph"/>
              <w:spacing w:line="275" w:lineRule="exact" w:before="19"/>
              <w:ind w:left="142"/>
              <w:rPr>
                <w:sz w:val="24"/>
              </w:rPr>
            </w:pPr>
            <w:r>
              <w:rPr>
                <w:sz w:val="24"/>
              </w:rPr>
              <w:t>Yes / No</w:t>
            </w:r>
          </w:p>
        </w:tc>
      </w:tr>
      <w:tr>
        <w:trPr>
          <w:trHeight w:val="314" w:hRule="atLeast"/>
        </w:trPr>
        <w:tc>
          <w:tcPr>
            <w:tcW w:w="9519" w:type="dxa"/>
            <w:gridSpan w:val="2"/>
            <w:shd w:val="clear" w:color="auto" w:fill="0697AA"/>
          </w:tcPr>
          <w:p>
            <w:pPr>
              <w:pStyle w:val="TableParagraph"/>
              <w:spacing w:line="275" w:lineRule="exact" w:before="19"/>
              <w:ind w:left="80"/>
              <w:rPr>
                <w:b/>
                <w:sz w:val="24"/>
              </w:rPr>
            </w:pPr>
            <w:r>
              <w:rPr>
                <w:b/>
                <w:color w:val="FFFFFF"/>
                <w:sz w:val="24"/>
              </w:rPr>
              <w:t>Duty Planner Comments</w:t>
            </w:r>
          </w:p>
        </w:tc>
      </w:tr>
      <w:tr>
        <w:trPr>
          <w:trHeight w:val="5316" w:hRule="atLeast"/>
        </w:trPr>
        <w:tc>
          <w:tcPr>
            <w:tcW w:w="9519" w:type="dxa"/>
            <w:gridSpan w:val="2"/>
          </w:tcPr>
          <w:p>
            <w:pPr>
              <w:pStyle w:val="TableParagraph"/>
              <w:spacing w:before="0"/>
              <w:ind w:left="0"/>
              <w:rPr>
                <w:rFonts w:ascii="Times New Roman"/>
                <w:sz w:val="22"/>
              </w:rPr>
            </w:pPr>
          </w:p>
        </w:tc>
      </w:tr>
    </w:tbl>
    <w:p>
      <w:pPr>
        <w:spacing w:after="0"/>
        <w:rPr>
          <w:rFonts w:ascii="Times New Roman"/>
          <w:sz w:val="22"/>
        </w:rPr>
        <w:sectPr>
          <w:pgSz w:w="11910" w:h="16840"/>
          <w:pgMar w:header="0" w:footer="668" w:top="960" w:bottom="860" w:left="1020" w:right="1020"/>
        </w:sectPr>
      </w:pPr>
    </w:p>
    <w:p>
      <w:pPr>
        <w:pStyle w:val="Heading1"/>
      </w:pPr>
      <w:r>
        <w:rPr>
          <w:color w:val="EE3825"/>
        </w:rPr>
        <w:t>Part 2 – Additional Information Requirements</w:t>
      </w:r>
    </w:p>
    <w:p>
      <w:pPr>
        <w:pStyle w:val="BodyText"/>
        <w:spacing w:line="266" w:lineRule="auto" w:before="275"/>
        <w:ind w:left="113" w:right="1347"/>
      </w:pPr>
      <w:r>
        <w:rPr/>
        <w:t>Additional information required under The Planning (General Development Procedure) (Amendment) Order (NI) 2024.</w:t>
      </w:r>
    </w:p>
    <w:p>
      <w:pPr>
        <w:pStyle w:val="BodyText"/>
        <w:spacing w:before="8"/>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93"/>
        <w:gridCol w:w="5670"/>
        <w:gridCol w:w="1057"/>
      </w:tblGrid>
      <w:tr>
        <w:trPr>
          <w:trHeight w:val="636" w:hRule="atLeast"/>
        </w:trPr>
        <w:tc>
          <w:tcPr>
            <w:tcW w:w="2893" w:type="dxa"/>
            <w:shd w:val="clear" w:color="auto" w:fill="EE3124"/>
          </w:tcPr>
          <w:p>
            <w:pPr>
              <w:pStyle w:val="TableParagraph"/>
              <w:spacing w:line="249" w:lineRule="auto" w:before="19"/>
              <w:ind w:left="80" w:right="79"/>
              <w:rPr>
                <w:b/>
                <w:sz w:val="24"/>
              </w:rPr>
            </w:pPr>
            <w:r>
              <w:rPr>
                <w:b/>
                <w:color w:val="FFFFFF"/>
                <w:sz w:val="24"/>
              </w:rPr>
              <w:t>Application Information Required</w:t>
            </w:r>
          </w:p>
        </w:tc>
        <w:tc>
          <w:tcPr>
            <w:tcW w:w="5670" w:type="dxa"/>
            <w:shd w:val="clear" w:color="auto" w:fill="EE3124"/>
          </w:tcPr>
          <w:p>
            <w:pPr>
              <w:pStyle w:val="TableParagraph"/>
              <w:spacing w:before="19"/>
              <w:ind w:left="79"/>
              <w:rPr>
                <w:b/>
                <w:sz w:val="24"/>
              </w:rPr>
            </w:pPr>
            <w:r>
              <w:rPr>
                <w:b/>
                <w:color w:val="FFFFFF"/>
                <w:sz w:val="24"/>
              </w:rPr>
              <w:t>Type of Application</w:t>
            </w:r>
          </w:p>
        </w:tc>
        <w:tc>
          <w:tcPr>
            <w:tcW w:w="1057" w:type="dxa"/>
            <w:shd w:val="clear" w:color="auto" w:fill="EE3124"/>
          </w:tcPr>
          <w:p>
            <w:pPr>
              <w:pStyle w:val="TableParagraph"/>
              <w:spacing w:before="19"/>
              <w:ind w:left="79"/>
              <w:rPr>
                <w:b/>
                <w:sz w:val="24"/>
              </w:rPr>
            </w:pPr>
            <w:r>
              <w:rPr>
                <w:b/>
                <w:color w:val="FFFFFF"/>
                <w:sz w:val="24"/>
              </w:rPr>
              <w:t>Y or N</w:t>
            </w:r>
          </w:p>
          <w:p>
            <w:pPr>
              <w:pStyle w:val="TableParagraph"/>
              <w:spacing w:before="12"/>
              <w:ind w:left="79"/>
              <w:rPr>
                <w:b/>
                <w:sz w:val="24"/>
              </w:rPr>
            </w:pPr>
            <w:r>
              <w:rPr>
                <w:b/>
                <w:color w:val="FFFFFF"/>
                <w:sz w:val="24"/>
              </w:rPr>
              <w:t>confirm</w:t>
            </w:r>
          </w:p>
        </w:tc>
      </w:tr>
      <w:tr>
        <w:trPr>
          <w:trHeight w:val="2412" w:hRule="atLeast"/>
        </w:trPr>
        <w:tc>
          <w:tcPr>
            <w:tcW w:w="2893" w:type="dxa"/>
            <w:shd w:val="clear" w:color="auto" w:fill="E2DDD9"/>
          </w:tcPr>
          <w:p>
            <w:pPr>
              <w:pStyle w:val="TableParagraph"/>
              <w:spacing w:line="249" w:lineRule="auto" w:before="24"/>
              <w:ind w:left="80" w:right="79"/>
              <w:rPr>
                <w:sz w:val="22"/>
              </w:rPr>
            </w:pPr>
            <w:r>
              <w:rPr>
                <w:sz w:val="22"/>
              </w:rPr>
              <w:t>1. Air Quality Impact Assessment (AQIA)</w:t>
            </w:r>
          </w:p>
        </w:tc>
        <w:tc>
          <w:tcPr>
            <w:tcW w:w="5670" w:type="dxa"/>
          </w:tcPr>
          <w:p>
            <w:pPr>
              <w:pStyle w:val="TableParagraph"/>
              <w:spacing w:before="24"/>
              <w:ind w:left="79"/>
              <w:jc w:val="both"/>
              <w:rPr>
                <w:sz w:val="22"/>
              </w:rPr>
            </w:pPr>
            <w:r>
              <w:rPr>
                <w:sz w:val="22"/>
              </w:rPr>
              <w:t>For all the following applications:</w:t>
            </w:r>
          </w:p>
          <w:p>
            <w:pPr>
              <w:pStyle w:val="TableParagraph"/>
              <w:numPr>
                <w:ilvl w:val="0"/>
                <w:numId w:val="16"/>
              </w:numPr>
              <w:tabs>
                <w:tab w:pos="440" w:val="left" w:leader="none"/>
              </w:tabs>
              <w:spacing w:line="249" w:lineRule="auto" w:before="11" w:after="0"/>
              <w:ind w:left="439" w:right="59" w:hanging="360"/>
              <w:jc w:val="both"/>
              <w:rPr>
                <w:sz w:val="22"/>
              </w:rPr>
            </w:pPr>
            <w:r>
              <w:rPr>
                <w:sz w:val="22"/>
              </w:rPr>
              <w:t>Intensive livestock units for </w:t>
            </w:r>
            <w:r>
              <w:rPr>
                <w:spacing w:val="-3"/>
                <w:sz w:val="22"/>
              </w:rPr>
              <w:t>poultry, </w:t>
            </w:r>
            <w:r>
              <w:rPr>
                <w:sz w:val="22"/>
              </w:rPr>
              <w:t>pigs, cattle or sheep, anaerobic digester plants or manure storage facilities.</w:t>
            </w:r>
          </w:p>
          <w:p>
            <w:pPr>
              <w:pStyle w:val="TableParagraph"/>
              <w:numPr>
                <w:ilvl w:val="0"/>
                <w:numId w:val="16"/>
              </w:numPr>
              <w:tabs>
                <w:tab w:pos="440" w:val="left" w:leader="none"/>
              </w:tabs>
              <w:spacing w:line="249" w:lineRule="auto" w:before="2" w:after="0"/>
              <w:ind w:left="439" w:right="58" w:hanging="360"/>
              <w:jc w:val="both"/>
              <w:rPr>
                <w:sz w:val="22"/>
              </w:rPr>
            </w:pPr>
            <w:r>
              <w:rPr>
                <w:sz w:val="22"/>
              </w:rPr>
              <w:t>Intensive development that may give rise to air pollution.</w:t>
            </w:r>
          </w:p>
          <w:p>
            <w:pPr>
              <w:pStyle w:val="TableParagraph"/>
              <w:numPr>
                <w:ilvl w:val="0"/>
                <w:numId w:val="16"/>
              </w:numPr>
              <w:tabs>
                <w:tab w:pos="440" w:val="left" w:leader="none"/>
              </w:tabs>
              <w:spacing w:line="249" w:lineRule="auto" w:before="2" w:after="0"/>
              <w:ind w:left="439" w:right="58" w:hanging="360"/>
              <w:jc w:val="both"/>
              <w:rPr>
                <w:sz w:val="22"/>
              </w:rPr>
            </w:pPr>
            <w:r>
              <w:rPr>
                <w:sz w:val="22"/>
              </w:rPr>
              <w:t>Major</w:t>
            </w:r>
            <w:r>
              <w:rPr>
                <w:spacing w:val="-12"/>
                <w:sz w:val="22"/>
              </w:rPr>
              <w:t> </w:t>
            </w:r>
            <w:r>
              <w:rPr>
                <w:sz w:val="22"/>
              </w:rPr>
              <w:t>development</w:t>
            </w:r>
            <w:r>
              <w:rPr>
                <w:spacing w:val="-12"/>
                <w:sz w:val="22"/>
              </w:rPr>
              <w:t> </w:t>
            </w:r>
            <w:r>
              <w:rPr>
                <w:sz w:val="22"/>
              </w:rPr>
              <w:t>within</w:t>
            </w:r>
            <w:r>
              <w:rPr>
                <w:spacing w:val="-12"/>
                <w:sz w:val="22"/>
              </w:rPr>
              <w:t> </w:t>
            </w:r>
            <w:r>
              <w:rPr>
                <w:sz w:val="22"/>
              </w:rPr>
              <w:t>an</w:t>
            </w:r>
            <w:r>
              <w:rPr>
                <w:spacing w:val="-25"/>
                <w:sz w:val="22"/>
              </w:rPr>
              <w:t> </w:t>
            </w:r>
            <w:r>
              <w:rPr>
                <w:sz w:val="22"/>
              </w:rPr>
              <w:t>Air</w:t>
            </w:r>
            <w:r>
              <w:rPr>
                <w:spacing w:val="-12"/>
                <w:sz w:val="22"/>
              </w:rPr>
              <w:t> </w:t>
            </w:r>
            <w:r>
              <w:rPr>
                <w:sz w:val="22"/>
              </w:rPr>
              <w:t>Quality</w:t>
            </w:r>
            <w:r>
              <w:rPr>
                <w:spacing w:val="-12"/>
                <w:sz w:val="22"/>
              </w:rPr>
              <w:t> </w:t>
            </w:r>
            <w:r>
              <w:rPr>
                <w:sz w:val="22"/>
              </w:rPr>
              <w:t>Management Area</w:t>
            </w:r>
          </w:p>
        </w:tc>
        <w:tc>
          <w:tcPr>
            <w:tcW w:w="1057" w:type="dxa"/>
          </w:tcPr>
          <w:p>
            <w:pPr>
              <w:pStyle w:val="TableParagraph"/>
              <w:spacing w:before="0"/>
              <w:ind w:left="0"/>
              <w:rPr>
                <w:rFonts w:ascii="Times New Roman"/>
                <w:sz w:val="22"/>
              </w:rPr>
            </w:pPr>
          </w:p>
        </w:tc>
      </w:tr>
      <w:tr>
        <w:trPr>
          <w:trHeight w:val="1356" w:hRule="atLeast"/>
        </w:trPr>
        <w:tc>
          <w:tcPr>
            <w:tcW w:w="2893" w:type="dxa"/>
            <w:shd w:val="clear" w:color="auto" w:fill="E2DDD9"/>
          </w:tcPr>
          <w:p>
            <w:pPr>
              <w:pStyle w:val="TableParagraph"/>
              <w:spacing w:line="249" w:lineRule="auto" w:before="23"/>
              <w:ind w:left="80" w:right="79"/>
              <w:rPr>
                <w:sz w:val="22"/>
              </w:rPr>
            </w:pPr>
            <w:r>
              <w:rPr>
                <w:sz w:val="22"/>
              </w:rPr>
              <w:t>2. Archaeological Assessment</w:t>
            </w:r>
          </w:p>
        </w:tc>
        <w:tc>
          <w:tcPr>
            <w:tcW w:w="5670" w:type="dxa"/>
          </w:tcPr>
          <w:p>
            <w:pPr>
              <w:pStyle w:val="TableParagraph"/>
              <w:spacing w:line="249" w:lineRule="auto" w:before="23"/>
              <w:ind w:left="79" w:right="58"/>
              <w:jc w:val="both"/>
              <w:rPr>
                <w:sz w:val="22"/>
              </w:rPr>
            </w:pPr>
            <w:r>
              <w:rPr>
                <w:sz w:val="22"/>
              </w:rPr>
              <w:t>Proposals where there is an impact from a development on an archaeological monument, or within an Area of Archaeological Interest or Potential where it involves the breaking of ground.</w:t>
            </w:r>
          </w:p>
        </w:tc>
        <w:tc>
          <w:tcPr>
            <w:tcW w:w="1057" w:type="dxa"/>
          </w:tcPr>
          <w:p>
            <w:pPr>
              <w:pStyle w:val="TableParagraph"/>
              <w:spacing w:before="0"/>
              <w:ind w:left="0"/>
              <w:rPr>
                <w:rFonts w:ascii="Times New Roman"/>
                <w:sz w:val="22"/>
              </w:rPr>
            </w:pPr>
          </w:p>
        </w:tc>
      </w:tr>
      <w:tr>
        <w:trPr>
          <w:trHeight w:val="1092" w:hRule="atLeast"/>
        </w:trPr>
        <w:tc>
          <w:tcPr>
            <w:tcW w:w="2893" w:type="dxa"/>
            <w:shd w:val="clear" w:color="auto" w:fill="E2DDD9"/>
          </w:tcPr>
          <w:p>
            <w:pPr>
              <w:pStyle w:val="TableParagraph"/>
              <w:spacing w:before="23"/>
              <w:ind w:left="80"/>
              <w:rPr>
                <w:sz w:val="22"/>
              </w:rPr>
            </w:pPr>
            <w:r>
              <w:rPr>
                <w:sz w:val="22"/>
              </w:rPr>
              <w:t>3. Biodiversity Checklist</w:t>
            </w:r>
          </w:p>
        </w:tc>
        <w:tc>
          <w:tcPr>
            <w:tcW w:w="5670" w:type="dxa"/>
          </w:tcPr>
          <w:p>
            <w:pPr>
              <w:pStyle w:val="TableParagraph"/>
              <w:spacing w:line="249" w:lineRule="auto" w:before="23"/>
              <w:ind w:left="79" w:right="66"/>
              <w:rPr>
                <w:sz w:val="22"/>
              </w:rPr>
            </w:pPr>
            <w:r>
              <w:rPr>
                <w:sz w:val="22"/>
              </w:rPr>
              <w:t>Parts 1 and 2 are required for all outline/full/reserved matters/renewal applications. Part 3 is required where it is identified under parts 1 and 2.</w:t>
            </w:r>
          </w:p>
        </w:tc>
        <w:tc>
          <w:tcPr>
            <w:tcW w:w="1057" w:type="dxa"/>
          </w:tcPr>
          <w:p>
            <w:pPr>
              <w:pStyle w:val="TableParagraph"/>
              <w:spacing w:before="0"/>
              <w:ind w:left="0"/>
              <w:rPr>
                <w:rFonts w:ascii="Times New Roman"/>
                <w:sz w:val="22"/>
              </w:rPr>
            </w:pPr>
          </w:p>
        </w:tc>
      </w:tr>
      <w:tr>
        <w:trPr>
          <w:trHeight w:val="1620" w:hRule="atLeast"/>
        </w:trPr>
        <w:tc>
          <w:tcPr>
            <w:tcW w:w="2893" w:type="dxa"/>
            <w:shd w:val="clear" w:color="auto" w:fill="E2DDD9"/>
          </w:tcPr>
          <w:p>
            <w:pPr>
              <w:pStyle w:val="TableParagraph"/>
              <w:spacing w:before="23"/>
              <w:ind w:left="80"/>
              <w:rPr>
                <w:sz w:val="22"/>
              </w:rPr>
            </w:pPr>
            <w:r>
              <w:rPr>
                <w:sz w:val="22"/>
              </w:rPr>
              <w:t>4. Biodiversity Survey</w:t>
            </w:r>
          </w:p>
        </w:tc>
        <w:tc>
          <w:tcPr>
            <w:tcW w:w="5670" w:type="dxa"/>
          </w:tcPr>
          <w:p>
            <w:pPr>
              <w:pStyle w:val="TableParagraph"/>
              <w:spacing w:line="249" w:lineRule="auto" w:before="24"/>
              <w:ind w:left="79" w:right="66"/>
              <w:rPr>
                <w:sz w:val="22"/>
              </w:rPr>
            </w:pPr>
            <w:r>
              <w:rPr>
                <w:sz w:val="22"/>
              </w:rPr>
              <w:t>This will be required where the need for a survey is identified as part of the completion of the Biodiversity Checklist. This must be completed by an ecologist or suitably qualified person. Standing advice is available at </w:t>
            </w:r>
            <w:hyperlink r:id="rId10">
              <w:r>
                <w:rPr>
                  <w:color w:val="215E9E"/>
                  <w:sz w:val="22"/>
                  <w:u w:val="single" w:color="215E9E"/>
                </w:rPr>
                <w:t>www.daera-ni.gov.uk/articles/biodiversity-checklist</w:t>
              </w:r>
            </w:hyperlink>
          </w:p>
        </w:tc>
        <w:tc>
          <w:tcPr>
            <w:tcW w:w="1057" w:type="dxa"/>
          </w:tcPr>
          <w:p>
            <w:pPr>
              <w:pStyle w:val="TableParagraph"/>
              <w:spacing w:before="0"/>
              <w:ind w:left="0"/>
              <w:rPr>
                <w:rFonts w:ascii="Times New Roman"/>
                <w:sz w:val="22"/>
              </w:rPr>
            </w:pPr>
          </w:p>
        </w:tc>
      </w:tr>
      <w:tr>
        <w:trPr>
          <w:trHeight w:val="1884" w:hRule="atLeast"/>
        </w:trPr>
        <w:tc>
          <w:tcPr>
            <w:tcW w:w="2893" w:type="dxa"/>
            <w:shd w:val="clear" w:color="auto" w:fill="E2DDD9"/>
          </w:tcPr>
          <w:p>
            <w:pPr>
              <w:pStyle w:val="TableParagraph"/>
              <w:spacing w:before="23"/>
              <w:ind w:left="79"/>
              <w:rPr>
                <w:sz w:val="22"/>
              </w:rPr>
            </w:pPr>
            <w:r>
              <w:rPr>
                <w:sz w:val="22"/>
              </w:rPr>
              <w:t>5. Contextual Assessment</w:t>
            </w:r>
          </w:p>
        </w:tc>
        <w:tc>
          <w:tcPr>
            <w:tcW w:w="5670" w:type="dxa"/>
          </w:tcPr>
          <w:p>
            <w:pPr>
              <w:pStyle w:val="TableParagraph"/>
              <w:spacing w:before="23"/>
              <w:ind w:left="79"/>
              <w:rPr>
                <w:sz w:val="22"/>
              </w:rPr>
            </w:pPr>
            <w:r>
              <w:rPr>
                <w:sz w:val="22"/>
              </w:rPr>
              <w:t>All planning applications:</w:t>
            </w:r>
          </w:p>
          <w:p>
            <w:pPr>
              <w:pStyle w:val="TableParagraph"/>
              <w:numPr>
                <w:ilvl w:val="0"/>
                <w:numId w:val="17"/>
              </w:numPr>
              <w:tabs>
                <w:tab w:pos="439" w:val="left" w:leader="none"/>
                <w:tab w:pos="440" w:val="left" w:leader="none"/>
              </w:tabs>
              <w:spacing w:line="249" w:lineRule="auto" w:before="11" w:after="0"/>
              <w:ind w:left="439" w:right="256" w:hanging="360"/>
              <w:jc w:val="left"/>
              <w:rPr>
                <w:sz w:val="22"/>
              </w:rPr>
            </w:pPr>
            <w:r>
              <w:rPr>
                <w:sz w:val="22"/>
              </w:rPr>
              <w:t>That impact on built heritage, including Listed Buildings, Scheduled Monuments, Historic Monuments, in Conservation Areas and in Areas</w:t>
            </w:r>
            <w:r>
              <w:rPr>
                <w:spacing w:val="-44"/>
                <w:sz w:val="22"/>
              </w:rPr>
              <w:t> </w:t>
            </w:r>
            <w:r>
              <w:rPr>
                <w:sz w:val="22"/>
              </w:rPr>
              <w:t>of </w:t>
            </w:r>
            <w:r>
              <w:rPr>
                <w:spacing w:val="-4"/>
                <w:sz w:val="22"/>
              </w:rPr>
              <w:t>Townscape</w:t>
            </w:r>
            <w:r>
              <w:rPr>
                <w:spacing w:val="-2"/>
                <w:sz w:val="22"/>
              </w:rPr>
              <w:t> </w:t>
            </w:r>
            <w:r>
              <w:rPr>
                <w:sz w:val="22"/>
              </w:rPr>
              <w:t>Character.</w:t>
            </w:r>
          </w:p>
          <w:p>
            <w:pPr>
              <w:pStyle w:val="TableParagraph"/>
              <w:numPr>
                <w:ilvl w:val="0"/>
                <w:numId w:val="17"/>
              </w:numPr>
              <w:tabs>
                <w:tab w:pos="439" w:val="left" w:leader="none"/>
                <w:tab w:pos="440" w:val="left" w:leader="none"/>
              </w:tabs>
              <w:spacing w:line="240" w:lineRule="auto" w:before="4" w:after="0"/>
              <w:ind w:left="439" w:right="0" w:hanging="361"/>
              <w:jc w:val="left"/>
              <w:rPr>
                <w:sz w:val="22"/>
              </w:rPr>
            </w:pPr>
            <w:r>
              <w:rPr>
                <w:sz w:val="22"/>
              </w:rPr>
              <w:t>For Major</w:t>
            </w:r>
            <w:r>
              <w:rPr>
                <w:spacing w:val="-1"/>
                <w:sz w:val="22"/>
              </w:rPr>
              <w:t> </w:t>
            </w:r>
            <w:r>
              <w:rPr>
                <w:sz w:val="22"/>
              </w:rPr>
              <w:t>development.</w:t>
            </w:r>
          </w:p>
        </w:tc>
        <w:tc>
          <w:tcPr>
            <w:tcW w:w="1057" w:type="dxa"/>
          </w:tcPr>
          <w:p>
            <w:pPr>
              <w:pStyle w:val="TableParagraph"/>
              <w:spacing w:before="0"/>
              <w:ind w:left="0"/>
              <w:rPr>
                <w:rFonts w:ascii="Times New Roman"/>
                <w:sz w:val="22"/>
              </w:rPr>
            </w:pPr>
          </w:p>
        </w:tc>
      </w:tr>
      <w:tr>
        <w:trPr>
          <w:trHeight w:val="2412" w:hRule="atLeast"/>
        </w:trPr>
        <w:tc>
          <w:tcPr>
            <w:tcW w:w="2893" w:type="dxa"/>
            <w:shd w:val="clear" w:color="auto" w:fill="E2DDD9"/>
          </w:tcPr>
          <w:p>
            <w:pPr>
              <w:pStyle w:val="TableParagraph"/>
              <w:spacing w:line="249" w:lineRule="auto" w:before="23"/>
              <w:ind w:left="79" w:right="833"/>
              <w:jc w:val="both"/>
              <w:rPr>
                <w:sz w:val="22"/>
              </w:rPr>
            </w:pPr>
            <w:r>
              <w:rPr>
                <w:sz w:val="22"/>
              </w:rPr>
              <w:t>6. Daylight, Sunlight and Overshadowing Assessment</w:t>
            </w:r>
          </w:p>
        </w:tc>
        <w:tc>
          <w:tcPr>
            <w:tcW w:w="5670" w:type="dxa"/>
          </w:tcPr>
          <w:p>
            <w:pPr>
              <w:pStyle w:val="TableParagraph"/>
              <w:spacing w:before="23"/>
              <w:ind w:left="79"/>
              <w:rPr>
                <w:sz w:val="22"/>
              </w:rPr>
            </w:pPr>
            <w:r>
              <w:rPr>
                <w:sz w:val="22"/>
              </w:rPr>
              <w:t>For extensions to the front or rear of a terraced or semi-</w:t>
            </w:r>
          </w:p>
          <w:p>
            <w:pPr>
              <w:pStyle w:val="TableParagraph"/>
              <w:ind w:left="79"/>
              <w:rPr>
                <w:sz w:val="22"/>
              </w:rPr>
            </w:pPr>
            <w:r>
              <w:rPr>
                <w:sz w:val="22"/>
              </w:rPr>
              <w:t>detached residential property:</w:t>
            </w:r>
          </w:p>
          <w:p>
            <w:pPr>
              <w:pStyle w:val="TableParagraph"/>
              <w:numPr>
                <w:ilvl w:val="0"/>
                <w:numId w:val="18"/>
              </w:numPr>
              <w:tabs>
                <w:tab w:pos="439" w:val="left" w:leader="none"/>
                <w:tab w:pos="440" w:val="left" w:leader="none"/>
              </w:tabs>
              <w:spacing w:line="240" w:lineRule="auto" w:before="11" w:after="0"/>
              <w:ind w:left="439" w:right="0" w:hanging="361"/>
              <w:jc w:val="left"/>
              <w:rPr>
                <w:sz w:val="22"/>
              </w:rPr>
            </w:pPr>
            <w:r>
              <w:rPr>
                <w:sz w:val="22"/>
              </w:rPr>
              <w:t>Where the proposed extension meets the</w:t>
            </w:r>
            <w:r>
              <w:rPr>
                <w:spacing w:val="-20"/>
                <w:sz w:val="22"/>
              </w:rPr>
              <w:t> </w:t>
            </w:r>
            <w:r>
              <w:rPr>
                <w:sz w:val="22"/>
              </w:rPr>
              <w:t>60-degree</w:t>
            </w:r>
          </w:p>
          <w:p>
            <w:pPr>
              <w:pStyle w:val="TableParagraph"/>
              <w:rPr>
                <w:sz w:val="22"/>
              </w:rPr>
            </w:pPr>
            <w:r>
              <w:rPr>
                <w:sz w:val="22"/>
              </w:rPr>
              <w:t>line for a single storey extension</w:t>
            </w:r>
          </w:p>
          <w:p>
            <w:pPr>
              <w:pStyle w:val="TableParagraph"/>
              <w:numPr>
                <w:ilvl w:val="0"/>
                <w:numId w:val="18"/>
              </w:numPr>
              <w:tabs>
                <w:tab w:pos="439" w:val="left" w:leader="none"/>
                <w:tab w:pos="440" w:val="left" w:leader="none"/>
              </w:tabs>
              <w:spacing w:line="249" w:lineRule="auto" w:before="11" w:after="0"/>
              <w:ind w:left="439" w:right="121" w:hanging="360"/>
              <w:jc w:val="left"/>
              <w:rPr>
                <w:sz w:val="22"/>
              </w:rPr>
            </w:pPr>
            <w:r>
              <w:rPr>
                <w:sz w:val="22"/>
              </w:rPr>
              <w:t>Where the proposed extension meets the 45-degree line for a two-storey</w:t>
            </w:r>
            <w:r>
              <w:rPr>
                <w:spacing w:val="-4"/>
                <w:sz w:val="22"/>
              </w:rPr>
              <w:t> </w:t>
            </w:r>
            <w:r>
              <w:rPr>
                <w:sz w:val="22"/>
              </w:rPr>
              <w:t>extension.</w:t>
            </w:r>
          </w:p>
          <w:p>
            <w:pPr>
              <w:pStyle w:val="TableParagraph"/>
              <w:spacing w:line="249" w:lineRule="auto" w:before="2"/>
              <w:ind w:left="79" w:right="317"/>
              <w:rPr>
                <w:sz w:val="22"/>
              </w:rPr>
            </w:pPr>
            <w:r>
              <w:rPr>
                <w:sz w:val="22"/>
              </w:rPr>
              <w:t>These must be shown on the drawings submitted with the planning application.</w:t>
            </w:r>
          </w:p>
        </w:tc>
        <w:tc>
          <w:tcPr>
            <w:tcW w:w="1057" w:type="dxa"/>
          </w:tcPr>
          <w:p>
            <w:pPr>
              <w:pStyle w:val="TableParagraph"/>
              <w:spacing w:before="0"/>
              <w:ind w:left="0"/>
              <w:rPr>
                <w:rFonts w:ascii="Times New Roman"/>
                <w:sz w:val="22"/>
              </w:rPr>
            </w:pPr>
          </w:p>
        </w:tc>
      </w:tr>
    </w:tbl>
    <w:p>
      <w:pPr>
        <w:spacing w:after="0"/>
        <w:rPr>
          <w:rFonts w:ascii="Times New Roman"/>
          <w:sz w:val="22"/>
        </w:rPr>
        <w:sectPr>
          <w:pgSz w:w="11910" w:h="16840"/>
          <w:pgMar w:header="0" w:footer="668" w:top="960" w:bottom="1060" w:left="1020" w:right="1020"/>
        </w:sectPr>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81"/>
        <w:gridCol w:w="5669"/>
        <w:gridCol w:w="1067"/>
      </w:tblGrid>
      <w:tr>
        <w:trPr>
          <w:trHeight w:val="602" w:hRule="atLeast"/>
        </w:trPr>
        <w:tc>
          <w:tcPr>
            <w:tcW w:w="2881" w:type="dxa"/>
            <w:shd w:val="clear" w:color="auto" w:fill="EE3124"/>
          </w:tcPr>
          <w:p>
            <w:pPr>
              <w:pStyle w:val="TableParagraph"/>
              <w:spacing w:line="280" w:lineRule="atLeast"/>
              <w:ind w:left="80" w:right="67"/>
              <w:rPr>
                <w:b/>
                <w:sz w:val="24"/>
              </w:rPr>
            </w:pPr>
            <w:r>
              <w:rPr>
                <w:b/>
                <w:color w:val="FFFFFF"/>
                <w:sz w:val="24"/>
              </w:rPr>
              <w:t>Application Information Required</w:t>
            </w:r>
          </w:p>
        </w:tc>
        <w:tc>
          <w:tcPr>
            <w:tcW w:w="5669" w:type="dxa"/>
            <w:shd w:val="clear" w:color="auto" w:fill="EE3124"/>
          </w:tcPr>
          <w:p>
            <w:pPr>
              <w:pStyle w:val="TableParagraph"/>
              <w:spacing w:before="15"/>
              <w:ind w:left="80"/>
              <w:rPr>
                <w:b/>
                <w:sz w:val="24"/>
              </w:rPr>
            </w:pPr>
            <w:r>
              <w:rPr>
                <w:b/>
                <w:color w:val="FFFFFF"/>
                <w:sz w:val="24"/>
              </w:rPr>
              <w:t>Type of Application</w:t>
            </w:r>
          </w:p>
        </w:tc>
        <w:tc>
          <w:tcPr>
            <w:tcW w:w="1067" w:type="dxa"/>
            <w:shd w:val="clear" w:color="auto" w:fill="EE3124"/>
          </w:tcPr>
          <w:p>
            <w:pPr>
              <w:pStyle w:val="TableParagraph"/>
              <w:spacing w:before="15"/>
              <w:ind w:left="80"/>
              <w:rPr>
                <w:b/>
                <w:sz w:val="24"/>
              </w:rPr>
            </w:pPr>
            <w:r>
              <w:rPr>
                <w:b/>
                <w:color w:val="FFFFFF"/>
                <w:sz w:val="24"/>
              </w:rPr>
              <w:t>Y or N</w:t>
            </w:r>
          </w:p>
          <w:p>
            <w:pPr>
              <w:pStyle w:val="TableParagraph"/>
              <w:spacing w:before="12"/>
              <w:ind w:left="80"/>
              <w:rPr>
                <w:b/>
                <w:sz w:val="24"/>
              </w:rPr>
            </w:pPr>
            <w:r>
              <w:rPr>
                <w:b/>
                <w:color w:val="FFFFFF"/>
                <w:sz w:val="24"/>
              </w:rPr>
              <w:t>confirm</w:t>
            </w:r>
          </w:p>
        </w:tc>
      </w:tr>
      <w:tr>
        <w:trPr>
          <w:trHeight w:val="1884" w:hRule="atLeast"/>
        </w:trPr>
        <w:tc>
          <w:tcPr>
            <w:tcW w:w="2881" w:type="dxa"/>
            <w:shd w:val="clear" w:color="auto" w:fill="E2DDD9"/>
          </w:tcPr>
          <w:p>
            <w:pPr>
              <w:pStyle w:val="TableParagraph"/>
              <w:spacing w:line="249" w:lineRule="auto" w:before="20"/>
              <w:ind w:left="80" w:right="266"/>
              <w:rPr>
                <w:sz w:val="22"/>
              </w:rPr>
            </w:pPr>
            <w:r>
              <w:rPr>
                <w:sz w:val="22"/>
              </w:rPr>
              <w:t>7. Demolition Justification Report and Structural Survey</w:t>
            </w:r>
          </w:p>
        </w:tc>
        <w:tc>
          <w:tcPr>
            <w:tcW w:w="5669" w:type="dxa"/>
          </w:tcPr>
          <w:p>
            <w:pPr>
              <w:pStyle w:val="TableParagraph"/>
              <w:spacing w:before="20"/>
              <w:ind w:left="80"/>
              <w:rPr>
                <w:sz w:val="22"/>
              </w:rPr>
            </w:pPr>
            <w:r>
              <w:rPr>
                <w:sz w:val="22"/>
              </w:rPr>
              <w:t>For all applications as follows:</w:t>
            </w:r>
          </w:p>
          <w:p>
            <w:pPr>
              <w:pStyle w:val="TableParagraph"/>
              <w:numPr>
                <w:ilvl w:val="0"/>
                <w:numId w:val="19"/>
              </w:numPr>
              <w:tabs>
                <w:tab w:pos="440" w:val="left" w:leader="none"/>
                <w:tab w:pos="441" w:val="left" w:leader="none"/>
              </w:tabs>
              <w:spacing w:line="240" w:lineRule="auto" w:before="11" w:after="0"/>
              <w:ind w:left="440" w:right="0" w:hanging="361"/>
              <w:jc w:val="left"/>
              <w:rPr>
                <w:sz w:val="22"/>
              </w:rPr>
            </w:pPr>
            <w:r>
              <w:rPr>
                <w:sz w:val="22"/>
              </w:rPr>
              <w:t>Listed Buildings where all or a significant part of</w:t>
            </w:r>
            <w:r>
              <w:rPr>
                <w:spacing w:val="-19"/>
                <w:sz w:val="22"/>
              </w:rPr>
              <w:t> </w:t>
            </w:r>
            <w:r>
              <w:rPr>
                <w:sz w:val="22"/>
              </w:rPr>
              <w:t>the</w:t>
            </w:r>
          </w:p>
          <w:p>
            <w:pPr>
              <w:pStyle w:val="TableParagraph"/>
              <w:ind w:left="440"/>
              <w:rPr>
                <w:sz w:val="22"/>
              </w:rPr>
            </w:pPr>
            <w:r>
              <w:rPr>
                <w:sz w:val="22"/>
              </w:rPr>
              <w:t>building is to be demolished.</w:t>
            </w:r>
          </w:p>
          <w:p>
            <w:pPr>
              <w:pStyle w:val="TableParagraph"/>
              <w:numPr>
                <w:ilvl w:val="0"/>
                <w:numId w:val="19"/>
              </w:numPr>
              <w:tabs>
                <w:tab w:pos="440" w:val="left" w:leader="none"/>
                <w:tab w:pos="441" w:val="left" w:leader="none"/>
              </w:tabs>
              <w:spacing w:line="249" w:lineRule="auto" w:before="11" w:after="0"/>
              <w:ind w:left="440" w:right="623" w:hanging="360"/>
              <w:jc w:val="left"/>
              <w:rPr>
                <w:sz w:val="22"/>
              </w:rPr>
            </w:pPr>
            <w:r>
              <w:rPr>
                <w:sz w:val="22"/>
              </w:rPr>
              <w:t>Complete or partial demolition of a building in</w:t>
            </w:r>
            <w:r>
              <w:rPr>
                <w:spacing w:val="-38"/>
                <w:sz w:val="22"/>
              </w:rPr>
              <w:t> </w:t>
            </w:r>
            <w:r>
              <w:rPr>
                <w:sz w:val="22"/>
              </w:rPr>
              <w:t>a Conservation</w:t>
            </w:r>
            <w:r>
              <w:rPr>
                <w:spacing w:val="-13"/>
                <w:sz w:val="22"/>
              </w:rPr>
              <w:t> </w:t>
            </w:r>
            <w:r>
              <w:rPr>
                <w:sz w:val="22"/>
              </w:rPr>
              <w:t>Area</w:t>
            </w:r>
          </w:p>
          <w:p>
            <w:pPr>
              <w:pStyle w:val="TableParagraph"/>
              <w:numPr>
                <w:ilvl w:val="0"/>
                <w:numId w:val="19"/>
              </w:numPr>
              <w:tabs>
                <w:tab w:pos="440" w:val="left" w:leader="none"/>
                <w:tab w:pos="441" w:val="left" w:leader="none"/>
              </w:tabs>
              <w:spacing w:line="240" w:lineRule="auto" w:before="1" w:after="0"/>
              <w:ind w:left="440" w:right="0" w:hanging="361"/>
              <w:jc w:val="left"/>
              <w:rPr>
                <w:sz w:val="22"/>
              </w:rPr>
            </w:pPr>
            <w:r>
              <w:rPr>
                <w:sz w:val="22"/>
              </w:rPr>
              <w:t>Complete or partial demolition of a building in</w:t>
            </w:r>
            <w:r>
              <w:rPr>
                <w:spacing w:val="-24"/>
                <w:sz w:val="22"/>
              </w:rPr>
              <w:t> </w:t>
            </w:r>
            <w:r>
              <w:rPr>
                <w:sz w:val="22"/>
              </w:rPr>
              <w:t>an</w:t>
            </w:r>
          </w:p>
          <w:p>
            <w:pPr>
              <w:pStyle w:val="TableParagraph"/>
              <w:ind w:left="440"/>
              <w:rPr>
                <w:sz w:val="22"/>
              </w:rPr>
            </w:pPr>
            <w:r>
              <w:rPr>
                <w:sz w:val="22"/>
              </w:rPr>
              <w:t>Area of Townscape Character</w:t>
            </w:r>
          </w:p>
        </w:tc>
        <w:tc>
          <w:tcPr>
            <w:tcW w:w="1067" w:type="dxa"/>
          </w:tcPr>
          <w:p>
            <w:pPr>
              <w:pStyle w:val="TableParagraph"/>
              <w:spacing w:before="0"/>
              <w:ind w:left="0"/>
              <w:rPr>
                <w:rFonts w:ascii="Times New Roman"/>
                <w:sz w:val="22"/>
              </w:rPr>
            </w:pPr>
          </w:p>
        </w:tc>
      </w:tr>
      <w:tr>
        <w:trPr>
          <w:trHeight w:val="828" w:hRule="atLeast"/>
        </w:trPr>
        <w:tc>
          <w:tcPr>
            <w:tcW w:w="2881" w:type="dxa"/>
            <w:shd w:val="clear" w:color="auto" w:fill="E2DDD9"/>
          </w:tcPr>
          <w:p>
            <w:pPr>
              <w:pStyle w:val="TableParagraph"/>
              <w:spacing w:line="249" w:lineRule="auto" w:before="20"/>
              <w:ind w:left="80" w:right="951"/>
              <w:rPr>
                <w:sz w:val="22"/>
              </w:rPr>
            </w:pPr>
            <w:r>
              <w:rPr>
                <w:sz w:val="22"/>
              </w:rPr>
              <w:t>8. Design Concept Statement</w:t>
            </w:r>
          </w:p>
        </w:tc>
        <w:tc>
          <w:tcPr>
            <w:tcW w:w="5669" w:type="dxa"/>
          </w:tcPr>
          <w:p>
            <w:pPr>
              <w:pStyle w:val="TableParagraph"/>
              <w:spacing w:line="249" w:lineRule="auto" w:before="20"/>
              <w:ind w:left="80"/>
              <w:rPr>
                <w:sz w:val="22"/>
              </w:rPr>
            </w:pPr>
            <w:r>
              <w:rPr>
                <w:sz w:val="22"/>
              </w:rPr>
              <w:t>For all applications for residential development for two or more dwellings.</w:t>
            </w:r>
          </w:p>
        </w:tc>
        <w:tc>
          <w:tcPr>
            <w:tcW w:w="1067" w:type="dxa"/>
          </w:tcPr>
          <w:p>
            <w:pPr>
              <w:pStyle w:val="TableParagraph"/>
              <w:spacing w:before="0"/>
              <w:ind w:left="0"/>
              <w:rPr>
                <w:rFonts w:ascii="Times New Roman"/>
                <w:sz w:val="22"/>
              </w:rPr>
            </w:pPr>
          </w:p>
        </w:tc>
      </w:tr>
      <w:tr>
        <w:trPr>
          <w:trHeight w:val="3732" w:hRule="atLeast"/>
        </w:trPr>
        <w:tc>
          <w:tcPr>
            <w:tcW w:w="2881" w:type="dxa"/>
            <w:shd w:val="clear" w:color="auto" w:fill="E2DDD9"/>
          </w:tcPr>
          <w:p>
            <w:pPr>
              <w:pStyle w:val="TableParagraph"/>
              <w:spacing w:before="19"/>
              <w:ind w:left="80"/>
              <w:rPr>
                <w:sz w:val="22"/>
              </w:rPr>
            </w:pPr>
            <w:r>
              <w:rPr>
                <w:sz w:val="22"/>
              </w:rPr>
              <w:t>9. Drainage Assessment</w:t>
            </w:r>
          </w:p>
        </w:tc>
        <w:tc>
          <w:tcPr>
            <w:tcW w:w="5669" w:type="dxa"/>
          </w:tcPr>
          <w:p>
            <w:pPr>
              <w:pStyle w:val="TableParagraph"/>
              <w:spacing w:before="19"/>
              <w:ind w:left="80"/>
              <w:rPr>
                <w:sz w:val="22"/>
              </w:rPr>
            </w:pPr>
            <w:r>
              <w:rPr>
                <w:sz w:val="22"/>
              </w:rPr>
              <w:t>For the following:</w:t>
            </w:r>
          </w:p>
          <w:p>
            <w:pPr>
              <w:pStyle w:val="TableParagraph"/>
              <w:numPr>
                <w:ilvl w:val="0"/>
                <w:numId w:val="20"/>
              </w:numPr>
              <w:tabs>
                <w:tab w:pos="440" w:val="left" w:leader="none"/>
                <w:tab w:pos="441" w:val="left" w:leader="none"/>
              </w:tabs>
              <w:spacing w:line="240" w:lineRule="auto" w:before="11" w:after="0"/>
              <w:ind w:left="440" w:right="0" w:hanging="361"/>
              <w:jc w:val="left"/>
              <w:rPr>
                <w:sz w:val="22"/>
              </w:rPr>
            </w:pPr>
            <w:r>
              <w:rPr>
                <w:sz w:val="22"/>
              </w:rPr>
              <w:t>New residential development of 10 units or</w:t>
            </w:r>
            <w:r>
              <w:rPr>
                <w:spacing w:val="-15"/>
                <w:sz w:val="22"/>
              </w:rPr>
              <w:t> </w:t>
            </w:r>
            <w:r>
              <w:rPr>
                <w:sz w:val="22"/>
              </w:rPr>
              <w:t>more</w:t>
            </w:r>
          </w:p>
          <w:p>
            <w:pPr>
              <w:pStyle w:val="TableParagraph"/>
              <w:numPr>
                <w:ilvl w:val="0"/>
                <w:numId w:val="20"/>
              </w:numPr>
              <w:tabs>
                <w:tab w:pos="440" w:val="left" w:leader="none"/>
                <w:tab w:pos="441" w:val="left" w:leader="none"/>
              </w:tabs>
              <w:spacing w:line="240" w:lineRule="auto" w:before="11" w:after="0"/>
              <w:ind w:left="440" w:right="0" w:hanging="361"/>
              <w:jc w:val="left"/>
              <w:rPr>
                <w:sz w:val="22"/>
              </w:rPr>
            </w:pPr>
            <w:r>
              <w:rPr>
                <w:sz w:val="22"/>
              </w:rPr>
              <w:t>Development sites in excess of 1</w:t>
            </w:r>
            <w:r>
              <w:rPr>
                <w:spacing w:val="-11"/>
                <w:sz w:val="22"/>
              </w:rPr>
              <w:t> </w:t>
            </w:r>
            <w:r>
              <w:rPr>
                <w:sz w:val="22"/>
              </w:rPr>
              <w:t>hectare</w:t>
            </w:r>
          </w:p>
          <w:p>
            <w:pPr>
              <w:pStyle w:val="TableParagraph"/>
              <w:numPr>
                <w:ilvl w:val="0"/>
                <w:numId w:val="20"/>
              </w:numPr>
              <w:tabs>
                <w:tab w:pos="440" w:val="left" w:leader="none"/>
                <w:tab w:pos="441" w:val="left" w:leader="none"/>
              </w:tabs>
              <w:spacing w:line="249" w:lineRule="auto" w:before="12" w:after="0"/>
              <w:ind w:left="440" w:right="58" w:hanging="360"/>
              <w:jc w:val="left"/>
              <w:rPr>
                <w:sz w:val="22"/>
              </w:rPr>
            </w:pPr>
            <w:r>
              <w:rPr>
                <w:sz w:val="22"/>
              </w:rPr>
              <w:t>Proposed</w:t>
            </w:r>
            <w:r>
              <w:rPr>
                <w:spacing w:val="-10"/>
                <w:sz w:val="22"/>
              </w:rPr>
              <w:t> </w:t>
            </w:r>
            <w:r>
              <w:rPr>
                <w:sz w:val="22"/>
              </w:rPr>
              <w:t>change</w:t>
            </w:r>
            <w:r>
              <w:rPr>
                <w:spacing w:val="-9"/>
                <w:sz w:val="22"/>
              </w:rPr>
              <w:t> </w:t>
            </w:r>
            <w:r>
              <w:rPr>
                <w:sz w:val="22"/>
              </w:rPr>
              <w:t>of</w:t>
            </w:r>
            <w:r>
              <w:rPr>
                <w:spacing w:val="-9"/>
                <w:sz w:val="22"/>
              </w:rPr>
              <w:t> </w:t>
            </w:r>
            <w:r>
              <w:rPr>
                <w:sz w:val="22"/>
              </w:rPr>
              <w:t>use</w:t>
            </w:r>
            <w:r>
              <w:rPr>
                <w:spacing w:val="-10"/>
                <w:sz w:val="22"/>
              </w:rPr>
              <w:t> </w:t>
            </w:r>
            <w:r>
              <w:rPr>
                <w:sz w:val="22"/>
              </w:rPr>
              <w:t>involving</w:t>
            </w:r>
            <w:r>
              <w:rPr>
                <w:spacing w:val="-9"/>
                <w:sz w:val="22"/>
              </w:rPr>
              <w:t> </w:t>
            </w:r>
            <w:r>
              <w:rPr>
                <w:sz w:val="22"/>
              </w:rPr>
              <w:t>new</w:t>
            </w:r>
            <w:r>
              <w:rPr>
                <w:spacing w:val="-9"/>
                <w:sz w:val="22"/>
              </w:rPr>
              <w:t> </w:t>
            </w:r>
            <w:r>
              <w:rPr>
                <w:sz w:val="22"/>
              </w:rPr>
              <w:t>buildings</w:t>
            </w:r>
            <w:r>
              <w:rPr>
                <w:spacing w:val="-9"/>
                <w:sz w:val="22"/>
              </w:rPr>
              <w:t> </w:t>
            </w:r>
            <w:r>
              <w:rPr>
                <w:sz w:val="22"/>
              </w:rPr>
              <w:t>and/ or hardstanding in excess of 1,000 square</w:t>
            </w:r>
            <w:r>
              <w:rPr>
                <w:spacing w:val="-19"/>
                <w:sz w:val="22"/>
              </w:rPr>
              <w:t> </w:t>
            </w:r>
            <w:r>
              <w:rPr>
                <w:sz w:val="22"/>
              </w:rPr>
              <w:t>metres</w:t>
            </w:r>
          </w:p>
          <w:p>
            <w:pPr>
              <w:pStyle w:val="TableParagraph"/>
              <w:spacing w:before="1"/>
              <w:ind w:left="0"/>
              <w:rPr>
                <w:sz w:val="23"/>
              </w:rPr>
            </w:pPr>
          </w:p>
          <w:p>
            <w:pPr>
              <w:pStyle w:val="TableParagraph"/>
              <w:spacing w:line="249" w:lineRule="auto" w:before="0"/>
              <w:ind w:left="80" w:right="58"/>
              <w:jc w:val="both"/>
              <w:rPr>
                <w:sz w:val="22"/>
              </w:rPr>
            </w:pPr>
            <w:r>
              <w:rPr>
                <w:sz w:val="22"/>
              </w:rPr>
              <w:t>For any development proposal, except for “minor development” where:</w:t>
            </w:r>
          </w:p>
          <w:p>
            <w:pPr>
              <w:pStyle w:val="TableParagraph"/>
              <w:numPr>
                <w:ilvl w:val="0"/>
                <w:numId w:val="20"/>
              </w:numPr>
              <w:tabs>
                <w:tab w:pos="441" w:val="left" w:leader="none"/>
              </w:tabs>
              <w:spacing w:line="240" w:lineRule="auto" w:before="2" w:after="0"/>
              <w:ind w:left="440" w:right="0" w:hanging="361"/>
              <w:jc w:val="both"/>
              <w:rPr>
                <w:sz w:val="22"/>
              </w:rPr>
            </w:pPr>
            <w:r>
              <w:rPr>
                <w:sz w:val="22"/>
              </w:rPr>
              <w:t>The development located within an area with</w:t>
            </w:r>
            <w:r>
              <w:rPr>
                <w:spacing w:val="5"/>
                <w:sz w:val="22"/>
              </w:rPr>
              <w:t> </w:t>
            </w:r>
            <w:r>
              <w:rPr>
                <w:sz w:val="22"/>
              </w:rPr>
              <w:t>historic</w:t>
            </w:r>
          </w:p>
          <w:p>
            <w:pPr>
              <w:pStyle w:val="TableParagraph"/>
              <w:ind w:left="440"/>
              <w:jc w:val="both"/>
              <w:rPr>
                <w:sz w:val="22"/>
              </w:rPr>
            </w:pPr>
            <w:r>
              <w:rPr>
                <w:sz w:val="22"/>
              </w:rPr>
              <w:t>surface water flooding</w:t>
            </w:r>
          </w:p>
          <w:p>
            <w:pPr>
              <w:pStyle w:val="TableParagraph"/>
              <w:numPr>
                <w:ilvl w:val="0"/>
                <w:numId w:val="20"/>
              </w:numPr>
              <w:tabs>
                <w:tab w:pos="441" w:val="left" w:leader="none"/>
              </w:tabs>
              <w:spacing w:line="249" w:lineRule="auto" w:before="11" w:after="0"/>
              <w:ind w:left="440" w:right="58" w:hanging="360"/>
              <w:jc w:val="both"/>
              <w:rPr>
                <w:sz w:val="22"/>
              </w:rPr>
            </w:pPr>
            <w:r>
              <w:rPr>
                <w:sz w:val="22"/>
              </w:rPr>
              <w:t>Surface water run-off from a proposed development may adversely affect other development or features of nature conservation, built heritage or</w:t>
            </w:r>
            <w:r>
              <w:rPr>
                <w:spacing w:val="-12"/>
                <w:sz w:val="22"/>
              </w:rPr>
              <w:t> </w:t>
            </w:r>
            <w:r>
              <w:rPr>
                <w:spacing w:val="-3"/>
                <w:sz w:val="22"/>
              </w:rPr>
              <w:t>archaeology.</w:t>
            </w:r>
          </w:p>
        </w:tc>
        <w:tc>
          <w:tcPr>
            <w:tcW w:w="1067" w:type="dxa"/>
          </w:tcPr>
          <w:p>
            <w:pPr>
              <w:pStyle w:val="TableParagraph"/>
              <w:spacing w:before="0"/>
              <w:ind w:left="0"/>
              <w:rPr>
                <w:rFonts w:ascii="Times New Roman"/>
                <w:sz w:val="22"/>
              </w:rPr>
            </w:pPr>
          </w:p>
        </w:tc>
      </w:tr>
      <w:tr>
        <w:trPr>
          <w:trHeight w:val="2148" w:hRule="atLeast"/>
        </w:trPr>
        <w:tc>
          <w:tcPr>
            <w:tcW w:w="2881" w:type="dxa"/>
            <w:shd w:val="clear" w:color="auto" w:fill="E2DDD9"/>
          </w:tcPr>
          <w:p>
            <w:pPr>
              <w:pStyle w:val="TableParagraph"/>
              <w:spacing w:line="249" w:lineRule="auto" w:before="19"/>
              <w:ind w:left="80" w:right="987"/>
              <w:rPr>
                <w:sz w:val="22"/>
              </w:rPr>
            </w:pPr>
            <w:r>
              <w:rPr>
                <w:sz w:val="22"/>
              </w:rPr>
              <w:t>10. Environmental Statement</w:t>
            </w:r>
          </w:p>
        </w:tc>
        <w:tc>
          <w:tcPr>
            <w:tcW w:w="5669" w:type="dxa"/>
          </w:tcPr>
          <w:p>
            <w:pPr>
              <w:pStyle w:val="TableParagraph"/>
              <w:spacing w:before="19"/>
              <w:ind w:left="80"/>
              <w:rPr>
                <w:sz w:val="22"/>
              </w:rPr>
            </w:pPr>
            <w:r>
              <w:rPr>
                <w:sz w:val="22"/>
              </w:rPr>
              <w:t>Development that falls within either:</w:t>
            </w:r>
          </w:p>
          <w:p>
            <w:pPr>
              <w:pStyle w:val="TableParagraph"/>
              <w:numPr>
                <w:ilvl w:val="0"/>
                <w:numId w:val="21"/>
              </w:numPr>
              <w:tabs>
                <w:tab w:pos="440" w:val="left" w:leader="none"/>
                <w:tab w:pos="441" w:val="left" w:leader="none"/>
              </w:tabs>
              <w:spacing w:line="249" w:lineRule="auto" w:before="11" w:after="0"/>
              <w:ind w:left="440" w:right="244" w:hanging="360"/>
              <w:jc w:val="left"/>
              <w:rPr>
                <w:sz w:val="22"/>
              </w:rPr>
            </w:pPr>
            <w:r>
              <w:rPr>
                <w:sz w:val="22"/>
              </w:rPr>
              <w:t>Schedule 1 of The Planning (Environmental </w:t>
            </w:r>
            <w:r>
              <w:rPr>
                <w:spacing w:val="-3"/>
                <w:sz w:val="22"/>
              </w:rPr>
              <w:t>Impact </w:t>
            </w:r>
            <w:r>
              <w:rPr>
                <w:sz w:val="22"/>
              </w:rPr>
              <w:t>Assessment) Regulations (NI) 2017;</w:t>
            </w:r>
            <w:r>
              <w:rPr>
                <w:spacing w:val="-5"/>
                <w:sz w:val="22"/>
              </w:rPr>
              <w:t> </w:t>
            </w:r>
            <w:r>
              <w:rPr>
                <w:sz w:val="22"/>
              </w:rPr>
              <w:t>or</w:t>
            </w:r>
          </w:p>
          <w:p>
            <w:pPr>
              <w:pStyle w:val="TableParagraph"/>
              <w:numPr>
                <w:ilvl w:val="0"/>
                <w:numId w:val="21"/>
              </w:numPr>
              <w:tabs>
                <w:tab w:pos="440" w:val="left" w:leader="none"/>
                <w:tab w:pos="441" w:val="left" w:leader="none"/>
              </w:tabs>
              <w:spacing w:line="249" w:lineRule="auto" w:before="2" w:after="0"/>
              <w:ind w:left="440" w:right="145" w:hanging="360"/>
              <w:jc w:val="left"/>
              <w:rPr>
                <w:sz w:val="22"/>
              </w:rPr>
            </w:pPr>
            <w:r>
              <w:rPr>
                <w:sz w:val="22"/>
              </w:rPr>
              <w:t>Schedule 2 of The Planning (Environmental Impact Assessment) Regulations (NI) 2017 and the</w:t>
            </w:r>
            <w:r>
              <w:rPr>
                <w:spacing w:val="-24"/>
                <w:sz w:val="22"/>
              </w:rPr>
              <w:t> </w:t>
            </w:r>
            <w:r>
              <w:rPr>
                <w:sz w:val="22"/>
              </w:rPr>
              <w:t>Council has issued a screening opinion to confirm that an Environmental Statement is</w:t>
            </w:r>
            <w:r>
              <w:rPr>
                <w:spacing w:val="-2"/>
                <w:sz w:val="22"/>
              </w:rPr>
              <w:t> </w:t>
            </w:r>
            <w:r>
              <w:rPr>
                <w:sz w:val="22"/>
              </w:rPr>
              <w:t>required.</w:t>
            </w:r>
          </w:p>
        </w:tc>
        <w:tc>
          <w:tcPr>
            <w:tcW w:w="1067" w:type="dxa"/>
          </w:tcPr>
          <w:p>
            <w:pPr>
              <w:pStyle w:val="TableParagraph"/>
              <w:spacing w:before="0"/>
              <w:ind w:left="0"/>
              <w:rPr>
                <w:rFonts w:ascii="Times New Roman"/>
                <w:sz w:val="22"/>
              </w:rPr>
            </w:pPr>
          </w:p>
        </w:tc>
      </w:tr>
      <w:tr>
        <w:trPr>
          <w:trHeight w:val="2148" w:hRule="atLeast"/>
        </w:trPr>
        <w:tc>
          <w:tcPr>
            <w:tcW w:w="2881" w:type="dxa"/>
            <w:shd w:val="clear" w:color="auto" w:fill="E2DDD9"/>
          </w:tcPr>
          <w:p>
            <w:pPr>
              <w:pStyle w:val="TableParagraph"/>
              <w:spacing w:before="19"/>
              <w:ind w:left="80"/>
              <w:rPr>
                <w:sz w:val="22"/>
              </w:rPr>
            </w:pPr>
            <w:r>
              <w:rPr>
                <w:sz w:val="22"/>
              </w:rPr>
              <w:t>11. Farm Details</w:t>
            </w:r>
          </w:p>
        </w:tc>
        <w:tc>
          <w:tcPr>
            <w:tcW w:w="5669" w:type="dxa"/>
          </w:tcPr>
          <w:p>
            <w:pPr>
              <w:pStyle w:val="TableParagraph"/>
              <w:spacing w:line="249" w:lineRule="auto" w:before="19"/>
              <w:ind w:left="80" w:right="187"/>
              <w:jc w:val="both"/>
              <w:rPr>
                <w:sz w:val="22"/>
              </w:rPr>
            </w:pPr>
            <w:r>
              <w:rPr>
                <w:sz w:val="22"/>
              </w:rPr>
              <w:t>All applications for a dwelling on a farm, a new building on a farm and farm diversification proposals will require the following information:</w:t>
            </w:r>
          </w:p>
          <w:p>
            <w:pPr>
              <w:pStyle w:val="TableParagraph"/>
              <w:numPr>
                <w:ilvl w:val="0"/>
                <w:numId w:val="22"/>
              </w:numPr>
              <w:tabs>
                <w:tab w:pos="441" w:val="left" w:leader="none"/>
              </w:tabs>
              <w:spacing w:line="240" w:lineRule="auto" w:before="3" w:after="0"/>
              <w:ind w:left="440" w:right="0" w:hanging="361"/>
              <w:jc w:val="both"/>
              <w:rPr>
                <w:sz w:val="22"/>
              </w:rPr>
            </w:pPr>
            <w:r>
              <w:rPr>
                <w:sz w:val="22"/>
              </w:rPr>
              <w:t>Full extent of land</w:t>
            </w:r>
            <w:r>
              <w:rPr>
                <w:spacing w:val="-5"/>
                <w:sz w:val="22"/>
              </w:rPr>
              <w:t> </w:t>
            </w:r>
            <w:r>
              <w:rPr>
                <w:sz w:val="22"/>
              </w:rPr>
              <w:t>ownership</w:t>
            </w:r>
          </w:p>
          <w:p>
            <w:pPr>
              <w:pStyle w:val="TableParagraph"/>
              <w:numPr>
                <w:ilvl w:val="0"/>
                <w:numId w:val="22"/>
              </w:numPr>
              <w:tabs>
                <w:tab w:pos="441" w:val="left" w:leader="none"/>
              </w:tabs>
              <w:spacing w:line="240" w:lineRule="auto" w:before="11" w:after="0"/>
              <w:ind w:left="440" w:right="0" w:hanging="361"/>
              <w:jc w:val="both"/>
              <w:rPr>
                <w:sz w:val="22"/>
              </w:rPr>
            </w:pPr>
            <w:r>
              <w:rPr>
                <w:sz w:val="22"/>
              </w:rPr>
              <w:t>Location of all buildings on the</w:t>
            </w:r>
            <w:r>
              <w:rPr>
                <w:spacing w:val="-9"/>
                <w:sz w:val="22"/>
              </w:rPr>
              <w:t> </w:t>
            </w:r>
            <w:r>
              <w:rPr>
                <w:sz w:val="22"/>
              </w:rPr>
              <w:t>farm</w:t>
            </w:r>
          </w:p>
          <w:p>
            <w:pPr>
              <w:pStyle w:val="TableParagraph"/>
              <w:numPr>
                <w:ilvl w:val="0"/>
                <w:numId w:val="22"/>
              </w:numPr>
              <w:tabs>
                <w:tab w:pos="441" w:val="left" w:leader="none"/>
              </w:tabs>
              <w:spacing w:line="249" w:lineRule="auto" w:before="11" w:after="0"/>
              <w:ind w:left="440" w:right="315" w:hanging="360"/>
              <w:jc w:val="both"/>
              <w:rPr>
                <w:sz w:val="22"/>
              </w:rPr>
            </w:pPr>
            <w:r>
              <w:rPr>
                <w:sz w:val="22"/>
              </w:rPr>
              <w:t>Evidence the farm business is currently active and has been established for 6</w:t>
            </w:r>
            <w:r>
              <w:rPr>
                <w:spacing w:val="-7"/>
                <w:sz w:val="22"/>
              </w:rPr>
              <w:t> </w:t>
            </w:r>
            <w:r>
              <w:rPr>
                <w:sz w:val="22"/>
              </w:rPr>
              <w:t>years.</w:t>
            </w:r>
          </w:p>
        </w:tc>
        <w:tc>
          <w:tcPr>
            <w:tcW w:w="1067" w:type="dxa"/>
          </w:tcPr>
          <w:p>
            <w:pPr>
              <w:pStyle w:val="TableParagraph"/>
              <w:spacing w:before="0"/>
              <w:ind w:left="0"/>
              <w:rPr>
                <w:rFonts w:ascii="Times New Roman"/>
                <w:sz w:val="22"/>
              </w:rPr>
            </w:pPr>
          </w:p>
        </w:tc>
      </w:tr>
      <w:tr>
        <w:trPr>
          <w:trHeight w:val="2676" w:hRule="atLeast"/>
        </w:trPr>
        <w:tc>
          <w:tcPr>
            <w:tcW w:w="2881" w:type="dxa"/>
            <w:shd w:val="clear" w:color="auto" w:fill="E2DDD9"/>
          </w:tcPr>
          <w:p>
            <w:pPr>
              <w:pStyle w:val="TableParagraph"/>
              <w:spacing w:before="19"/>
              <w:ind w:left="80"/>
              <w:rPr>
                <w:sz w:val="22"/>
              </w:rPr>
            </w:pPr>
            <w:r>
              <w:rPr>
                <w:sz w:val="22"/>
              </w:rPr>
              <w:t>12. Flood Risk</w:t>
            </w:r>
          </w:p>
        </w:tc>
        <w:tc>
          <w:tcPr>
            <w:tcW w:w="5669" w:type="dxa"/>
          </w:tcPr>
          <w:p>
            <w:pPr>
              <w:pStyle w:val="TableParagraph"/>
              <w:numPr>
                <w:ilvl w:val="0"/>
                <w:numId w:val="23"/>
              </w:numPr>
              <w:tabs>
                <w:tab w:pos="440" w:val="left" w:leader="none"/>
                <w:tab w:pos="441" w:val="left" w:leader="none"/>
              </w:tabs>
              <w:spacing w:line="249" w:lineRule="auto" w:before="19" w:after="0"/>
              <w:ind w:left="440" w:right="120" w:hanging="360"/>
              <w:jc w:val="left"/>
              <w:rPr>
                <w:sz w:val="22"/>
              </w:rPr>
            </w:pPr>
            <w:r>
              <w:rPr>
                <w:sz w:val="22"/>
              </w:rPr>
              <w:t>For all new development within the 1 in 100-year fluvial flood plan including climate change</w:t>
            </w:r>
            <w:r>
              <w:rPr>
                <w:spacing w:val="-21"/>
                <w:sz w:val="22"/>
              </w:rPr>
              <w:t> </w:t>
            </w:r>
            <w:r>
              <w:rPr>
                <w:sz w:val="22"/>
              </w:rPr>
              <w:t>allowance where the applicant sets out the proposal can meet the “Exceptions </w:t>
            </w:r>
            <w:r>
              <w:rPr>
                <w:spacing w:val="-6"/>
                <w:sz w:val="22"/>
              </w:rPr>
              <w:t>Test” </w:t>
            </w:r>
            <w:r>
              <w:rPr>
                <w:sz w:val="22"/>
              </w:rPr>
              <w:t>under PPS 15, Policy FLD</w:t>
            </w:r>
            <w:r>
              <w:rPr>
                <w:spacing w:val="-4"/>
                <w:sz w:val="22"/>
              </w:rPr>
              <w:t> </w:t>
            </w:r>
            <w:r>
              <w:rPr>
                <w:sz w:val="22"/>
              </w:rPr>
              <w:t>1</w:t>
            </w:r>
          </w:p>
          <w:p>
            <w:pPr>
              <w:pStyle w:val="TableParagraph"/>
              <w:numPr>
                <w:ilvl w:val="0"/>
                <w:numId w:val="23"/>
              </w:numPr>
              <w:tabs>
                <w:tab w:pos="440" w:val="left" w:leader="none"/>
                <w:tab w:pos="441" w:val="left" w:leader="none"/>
              </w:tabs>
              <w:spacing w:line="240" w:lineRule="auto" w:before="4" w:after="0"/>
              <w:ind w:left="440" w:right="0" w:hanging="361"/>
              <w:jc w:val="left"/>
              <w:rPr>
                <w:sz w:val="22"/>
              </w:rPr>
            </w:pPr>
            <w:r>
              <w:rPr>
                <w:sz w:val="22"/>
              </w:rPr>
              <w:t>For minor development within defended</w:t>
            </w:r>
            <w:r>
              <w:rPr>
                <w:spacing w:val="-10"/>
                <w:sz w:val="22"/>
              </w:rPr>
              <w:t> </w:t>
            </w:r>
            <w:r>
              <w:rPr>
                <w:sz w:val="22"/>
              </w:rPr>
              <w:t>and</w:t>
            </w:r>
          </w:p>
          <w:p>
            <w:pPr>
              <w:pStyle w:val="TableParagraph"/>
              <w:ind w:left="440"/>
              <w:rPr>
                <w:sz w:val="22"/>
              </w:rPr>
            </w:pPr>
            <w:r>
              <w:rPr>
                <w:sz w:val="22"/>
              </w:rPr>
              <w:t>undefended flood plains</w:t>
            </w:r>
          </w:p>
          <w:p>
            <w:pPr>
              <w:pStyle w:val="TableParagraph"/>
              <w:numPr>
                <w:ilvl w:val="0"/>
                <w:numId w:val="23"/>
              </w:numPr>
              <w:tabs>
                <w:tab w:pos="440" w:val="left" w:leader="none"/>
                <w:tab w:pos="441" w:val="left" w:leader="none"/>
              </w:tabs>
              <w:spacing w:line="249" w:lineRule="auto" w:before="11" w:after="0"/>
              <w:ind w:left="440" w:right="145" w:hanging="360"/>
              <w:jc w:val="left"/>
              <w:rPr>
                <w:sz w:val="22"/>
              </w:rPr>
            </w:pPr>
            <w:r>
              <w:rPr>
                <w:sz w:val="22"/>
              </w:rPr>
              <w:t>For all new development within a potential flood inundation area of a controlled reservoir under</w:t>
            </w:r>
            <w:r>
              <w:rPr>
                <w:spacing w:val="40"/>
                <w:sz w:val="22"/>
              </w:rPr>
              <w:t> </w:t>
            </w:r>
            <w:r>
              <w:rPr>
                <w:sz w:val="22"/>
              </w:rPr>
              <w:t>PPS 15, Policy FLD</w:t>
            </w:r>
            <w:r>
              <w:rPr>
                <w:spacing w:val="-2"/>
                <w:sz w:val="22"/>
              </w:rPr>
              <w:t> </w:t>
            </w:r>
            <w:r>
              <w:rPr>
                <w:sz w:val="22"/>
              </w:rPr>
              <w:t>5.</w:t>
            </w:r>
          </w:p>
        </w:tc>
        <w:tc>
          <w:tcPr>
            <w:tcW w:w="1067" w:type="dxa"/>
          </w:tcPr>
          <w:p>
            <w:pPr>
              <w:pStyle w:val="TableParagraph"/>
              <w:spacing w:before="0"/>
              <w:ind w:left="0"/>
              <w:rPr>
                <w:rFonts w:ascii="Times New Roman"/>
                <w:sz w:val="22"/>
              </w:rPr>
            </w:pPr>
          </w:p>
        </w:tc>
      </w:tr>
    </w:tbl>
    <w:p>
      <w:pPr>
        <w:spacing w:after="0"/>
        <w:rPr>
          <w:rFonts w:ascii="Times New Roman"/>
          <w:sz w:val="22"/>
        </w:rPr>
        <w:sectPr>
          <w:pgSz w:w="11910" w:h="16840"/>
          <w:pgMar w:header="0" w:footer="668" w:top="1120" w:bottom="860" w:left="1020" w:right="1020"/>
        </w:sectPr>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93"/>
        <w:gridCol w:w="5624"/>
        <w:gridCol w:w="1101"/>
      </w:tblGrid>
      <w:tr>
        <w:trPr>
          <w:trHeight w:val="602" w:hRule="atLeast"/>
        </w:trPr>
        <w:tc>
          <w:tcPr>
            <w:tcW w:w="2893" w:type="dxa"/>
            <w:shd w:val="clear" w:color="auto" w:fill="EE3124"/>
          </w:tcPr>
          <w:p>
            <w:pPr>
              <w:pStyle w:val="TableParagraph"/>
              <w:spacing w:line="290" w:lineRule="atLeast" w:before="1"/>
              <w:ind w:left="80" w:right="79"/>
              <w:rPr>
                <w:b/>
                <w:sz w:val="24"/>
              </w:rPr>
            </w:pPr>
            <w:r>
              <w:rPr>
                <w:b/>
                <w:color w:val="FFFFFF"/>
                <w:sz w:val="24"/>
              </w:rPr>
              <w:t>Application Information Required</w:t>
            </w:r>
          </w:p>
        </w:tc>
        <w:tc>
          <w:tcPr>
            <w:tcW w:w="5624" w:type="dxa"/>
            <w:shd w:val="clear" w:color="auto" w:fill="EE3124"/>
          </w:tcPr>
          <w:p>
            <w:pPr>
              <w:pStyle w:val="TableParagraph"/>
              <w:spacing w:before="15"/>
              <w:ind w:left="79"/>
              <w:rPr>
                <w:b/>
                <w:sz w:val="24"/>
              </w:rPr>
            </w:pPr>
            <w:r>
              <w:rPr>
                <w:b/>
                <w:color w:val="FFFFFF"/>
                <w:sz w:val="24"/>
              </w:rPr>
              <w:t>Type of Application</w:t>
            </w:r>
          </w:p>
        </w:tc>
        <w:tc>
          <w:tcPr>
            <w:tcW w:w="1101" w:type="dxa"/>
            <w:shd w:val="clear" w:color="auto" w:fill="EE3124"/>
          </w:tcPr>
          <w:p>
            <w:pPr>
              <w:pStyle w:val="TableParagraph"/>
              <w:spacing w:before="15"/>
              <w:ind w:left="79"/>
              <w:rPr>
                <w:b/>
                <w:sz w:val="24"/>
              </w:rPr>
            </w:pPr>
            <w:r>
              <w:rPr>
                <w:b/>
                <w:color w:val="FFFFFF"/>
                <w:sz w:val="24"/>
              </w:rPr>
              <w:t>Y or N</w:t>
            </w:r>
          </w:p>
          <w:p>
            <w:pPr>
              <w:pStyle w:val="TableParagraph"/>
              <w:spacing w:before="12"/>
              <w:ind w:left="79"/>
              <w:rPr>
                <w:b/>
                <w:sz w:val="24"/>
              </w:rPr>
            </w:pPr>
            <w:r>
              <w:rPr>
                <w:b/>
                <w:color w:val="FFFFFF"/>
                <w:sz w:val="24"/>
              </w:rPr>
              <w:t>confirm</w:t>
            </w:r>
          </w:p>
        </w:tc>
      </w:tr>
      <w:tr>
        <w:trPr>
          <w:trHeight w:val="1620" w:hRule="atLeast"/>
        </w:trPr>
        <w:tc>
          <w:tcPr>
            <w:tcW w:w="2893" w:type="dxa"/>
            <w:shd w:val="clear" w:color="auto" w:fill="E2DDD9"/>
          </w:tcPr>
          <w:p>
            <w:pPr>
              <w:pStyle w:val="TableParagraph"/>
              <w:spacing w:line="249" w:lineRule="auto" w:before="20"/>
              <w:ind w:left="80" w:right="79"/>
              <w:rPr>
                <w:sz w:val="22"/>
              </w:rPr>
            </w:pPr>
            <w:r>
              <w:rPr>
                <w:sz w:val="22"/>
              </w:rPr>
              <w:t>13. Landscape and Visual Assessment</w:t>
            </w:r>
          </w:p>
        </w:tc>
        <w:tc>
          <w:tcPr>
            <w:tcW w:w="5624" w:type="dxa"/>
          </w:tcPr>
          <w:p>
            <w:pPr>
              <w:pStyle w:val="TableParagraph"/>
              <w:spacing w:before="20"/>
              <w:ind w:left="79"/>
              <w:rPr>
                <w:sz w:val="22"/>
              </w:rPr>
            </w:pPr>
            <w:r>
              <w:rPr>
                <w:sz w:val="22"/>
              </w:rPr>
              <w:t>Any of the following development in the AONB:</w:t>
            </w:r>
          </w:p>
          <w:p>
            <w:pPr>
              <w:pStyle w:val="TableParagraph"/>
              <w:numPr>
                <w:ilvl w:val="0"/>
                <w:numId w:val="24"/>
              </w:numPr>
              <w:tabs>
                <w:tab w:pos="439" w:val="left" w:leader="none"/>
                <w:tab w:pos="440" w:val="left" w:leader="none"/>
              </w:tabs>
              <w:spacing w:line="240" w:lineRule="auto" w:before="11" w:after="0"/>
              <w:ind w:left="439" w:right="0" w:hanging="361"/>
              <w:jc w:val="left"/>
              <w:rPr>
                <w:sz w:val="22"/>
              </w:rPr>
            </w:pPr>
            <w:r>
              <w:rPr>
                <w:sz w:val="22"/>
              </w:rPr>
              <w:t>Major planning</w:t>
            </w:r>
            <w:r>
              <w:rPr>
                <w:spacing w:val="-2"/>
                <w:sz w:val="22"/>
              </w:rPr>
              <w:t> </w:t>
            </w:r>
            <w:r>
              <w:rPr>
                <w:sz w:val="22"/>
              </w:rPr>
              <w:t>applications</w:t>
            </w:r>
          </w:p>
          <w:p>
            <w:pPr>
              <w:pStyle w:val="TableParagraph"/>
              <w:numPr>
                <w:ilvl w:val="0"/>
                <w:numId w:val="24"/>
              </w:numPr>
              <w:tabs>
                <w:tab w:pos="439" w:val="left" w:leader="none"/>
                <w:tab w:pos="440" w:val="left" w:leader="none"/>
              </w:tabs>
              <w:spacing w:line="240" w:lineRule="auto" w:before="11" w:after="0"/>
              <w:ind w:left="439" w:right="0" w:hanging="361"/>
              <w:jc w:val="left"/>
              <w:rPr>
                <w:sz w:val="22"/>
              </w:rPr>
            </w:pPr>
            <w:r>
              <w:rPr>
                <w:sz w:val="22"/>
              </w:rPr>
              <w:t>Wind farm planning</w:t>
            </w:r>
            <w:r>
              <w:rPr>
                <w:spacing w:val="-3"/>
                <w:sz w:val="22"/>
              </w:rPr>
              <w:t> </w:t>
            </w:r>
            <w:r>
              <w:rPr>
                <w:sz w:val="22"/>
              </w:rPr>
              <w:t>applications</w:t>
            </w:r>
          </w:p>
          <w:p>
            <w:pPr>
              <w:pStyle w:val="TableParagraph"/>
              <w:numPr>
                <w:ilvl w:val="0"/>
                <w:numId w:val="24"/>
              </w:numPr>
              <w:tabs>
                <w:tab w:pos="439" w:val="left" w:leader="none"/>
                <w:tab w:pos="440" w:val="left" w:leader="none"/>
              </w:tabs>
              <w:spacing w:line="240" w:lineRule="auto" w:before="11" w:after="0"/>
              <w:ind w:left="439" w:right="0" w:hanging="361"/>
              <w:jc w:val="left"/>
              <w:rPr>
                <w:sz w:val="22"/>
              </w:rPr>
            </w:pPr>
            <w:r>
              <w:rPr>
                <w:sz w:val="22"/>
              </w:rPr>
              <w:t>Single wind turbine planning</w:t>
            </w:r>
            <w:r>
              <w:rPr>
                <w:spacing w:val="-6"/>
                <w:sz w:val="22"/>
              </w:rPr>
              <w:t> </w:t>
            </w:r>
            <w:r>
              <w:rPr>
                <w:sz w:val="22"/>
              </w:rPr>
              <w:t>applications</w:t>
            </w:r>
          </w:p>
          <w:p>
            <w:pPr>
              <w:pStyle w:val="TableParagraph"/>
              <w:numPr>
                <w:ilvl w:val="0"/>
                <w:numId w:val="24"/>
              </w:numPr>
              <w:tabs>
                <w:tab w:pos="439" w:val="left" w:leader="none"/>
                <w:tab w:pos="440" w:val="left" w:leader="none"/>
              </w:tabs>
              <w:spacing w:line="240" w:lineRule="auto" w:before="11" w:after="0"/>
              <w:ind w:left="439" w:right="0" w:hanging="361"/>
              <w:jc w:val="left"/>
              <w:rPr>
                <w:sz w:val="22"/>
              </w:rPr>
            </w:pPr>
            <w:r>
              <w:rPr>
                <w:sz w:val="22"/>
              </w:rPr>
              <w:t>Proposed telecommunication masts</w:t>
            </w:r>
          </w:p>
        </w:tc>
        <w:tc>
          <w:tcPr>
            <w:tcW w:w="1101" w:type="dxa"/>
          </w:tcPr>
          <w:p>
            <w:pPr>
              <w:pStyle w:val="TableParagraph"/>
              <w:spacing w:before="0"/>
              <w:ind w:left="0"/>
              <w:rPr>
                <w:rFonts w:ascii="Times New Roman"/>
                <w:sz w:val="22"/>
              </w:rPr>
            </w:pPr>
          </w:p>
        </w:tc>
      </w:tr>
      <w:tr>
        <w:trPr>
          <w:trHeight w:val="828" w:hRule="atLeast"/>
        </w:trPr>
        <w:tc>
          <w:tcPr>
            <w:tcW w:w="2893" w:type="dxa"/>
            <w:shd w:val="clear" w:color="auto" w:fill="E2DDD9"/>
          </w:tcPr>
          <w:p>
            <w:pPr>
              <w:pStyle w:val="TableParagraph"/>
              <w:spacing w:line="249" w:lineRule="auto" w:before="20"/>
              <w:ind w:left="80" w:right="290"/>
              <w:rPr>
                <w:sz w:val="22"/>
              </w:rPr>
            </w:pPr>
            <w:r>
              <w:rPr>
                <w:sz w:val="22"/>
              </w:rPr>
              <w:t>14. Nutrient Management Plan</w:t>
            </w:r>
          </w:p>
        </w:tc>
        <w:tc>
          <w:tcPr>
            <w:tcW w:w="5624" w:type="dxa"/>
          </w:tcPr>
          <w:p>
            <w:pPr>
              <w:pStyle w:val="TableParagraph"/>
              <w:spacing w:line="249" w:lineRule="auto" w:before="20"/>
              <w:ind w:left="79"/>
              <w:rPr>
                <w:sz w:val="22"/>
              </w:rPr>
            </w:pPr>
            <w:r>
              <w:rPr>
                <w:sz w:val="22"/>
              </w:rPr>
              <w:t>For</w:t>
            </w:r>
            <w:r>
              <w:rPr>
                <w:spacing w:val="-30"/>
                <w:sz w:val="22"/>
              </w:rPr>
              <w:t> </w:t>
            </w:r>
            <w:r>
              <w:rPr>
                <w:sz w:val="22"/>
              </w:rPr>
              <w:t>all</w:t>
            </w:r>
            <w:r>
              <w:rPr>
                <w:spacing w:val="-29"/>
                <w:sz w:val="22"/>
              </w:rPr>
              <w:t> </w:t>
            </w:r>
            <w:r>
              <w:rPr>
                <w:sz w:val="22"/>
              </w:rPr>
              <w:t>proposals</w:t>
            </w:r>
            <w:r>
              <w:rPr>
                <w:spacing w:val="-30"/>
                <w:sz w:val="22"/>
              </w:rPr>
              <w:t> </w:t>
            </w:r>
            <w:r>
              <w:rPr>
                <w:sz w:val="22"/>
              </w:rPr>
              <w:t>that</w:t>
            </w:r>
            <w:r>
              <w:rPr>
                <w:spacing w:val="-29"/>
                <w:sz w:val="22"/>
              </w:rPr>
              <w:t> </w:t>
            </w:r>
            <w:r>
              <w:rPr>
                <w:sz w:val="22"/>
              </w:rPr>
              <w:t>involve</w:t>
            </w:r>
            <w:r>
              <w:rPr>
                <w:spacing w:val="-30"/>
                <w:sz w:val="22"/>
              </w:rPr>
              <w:t> </w:t>
            </w:r>
            <w:r>
              <w:rPr>
                <w:sz w:val="22"/>
              </w:rPr>
              <w:t>the</w:t>
            </w:r>
            <w:r>
              <w:rPr>
                <w:spacing w:val="-29"/>
                <w:sz w:val="22"/>
              </w:rPr>
              <w:t> </w:t>
            </w:r>
            <w:r>
              <w:rPr>
                <w:sz w:val="22"/>
              </w:rPr>
              <w:t>storage</w:t>
            </w:r>
            <w:r>
              <w:rPr>
                <w:spacing w:val="-30"/>
                <w:sz w:val="22"/>
              </w:rPr>
              <w:t> </w:t>
            </w:r>
            <w:r>
              <w:rPr>
                <w:sz w:val="22"/>
              </w:rPr>
              <w:t>and/or</w:t>
            </w:r>
            <w:r>
              <w:rPr>
                <w:spacing w:val="-29"/>
                <w:sz w:val="22"/>
              </w:rPr>
              <w:t> </w:t>
            </w:r>
            <w:r>
              <w:rPr>
                <w:sz w:val="22"/>
              </w:rPr>
              <w:t>spreading of slurry or</w:t>
            </w:r>
            <w:r>
              <w:rPr>
                <w:spacing w:val="-3"/>
                <w:sz w:val="22"/>
              </w:rPr>
              <w:t> </w:t>
            </w:r>
            <w:r>
              <w:rPr>
                <w:sz w:val="22"/>
              </w:rPr>
              <w:t>digestate.</w:t>
            </w:r>
          </w:p>
        </w:tc>
        <w:tc>
          <w:tcPr>
            <w:tcW w:w="1101" w:type="dxa"/>
          </w:tcPr>
          <w:p>
            <w:pPr>
              <w:pStyle w:val="TableParagraph"/>
              <w:spacing w:before="0"/>
              <w:ind w:left="0"/>
              <w:rPr>
                <w:rFonts w:ascii="Times New Roman"/>
                <w:sz w:val="22"/>
              </w:rPr>
            </w:pPr>
          </w:p>
        </w:tc>
      </w:tr>
      <w:tr>
        <w:trPr>
          <w:trHeight w:val="828" w:hRule="atLeast"/>
        </w:trPr>
        <w:tc>
          <w:tcPr>
            <w:tcW w:w="2893" w:type="dxa"/>
            <w:shd w:val="clear" w:color="auto" w:fill="E2DDD9"/>
          </w:tcPr>
          <w:p>
            <w:pPr>
              <w:pStyle w:val="TableParagraph"/>
              <w:spacing w:before="19"/>
              <w:ind w:left="80"/>
              <w:rPr>
                <w:sz w:val="22"/>
              </w:rPr>
            </w:pPr>
            <w:r>
              <w:rPr>
                <w:sz w:val="22"/>
              </w:rPr>
              <w:t>15. Parking Survey</w:t>
            </w:r>
          </w:p>
        </w:tc>
        <w:tc>
          <w:tcPr>
            <w:tcW w:w="5624" w:type="dxa"/>
          </w:tcPr>
          <w:p>
            <w:pPr>
              <w:pStyle w:val="TableParagraph"/>
              <w:spacing w:before="19"/>
              <w:ind w:left="79"/>
              <w:rPr>
                <w:sz w:val="22"/>
              </w:rPr>
            </w:pPr>
            <w:r>
              <w:rPr>
                <w:sz w:val="22"/>
              </w:rPr>
              <w:t>For</w:t>
            </w:r>
            <w:r>
              <w:rPr>
                <w:spacing w:val="32"/>
                <w:sz w:val="22"/>
              </w:rPr>
              <w:t> </w:t>
            </w:r>
            <w:r>
              <w:rPr>
                <w:sz w:val="22"/>
              </w:rPr>
              <w:t>all</w:t>
            </w:r>
            <w:r>
              <w:rPr>
                <w:spacing w:val="33"/>
                <w:sz w:val="22"/>
              </w:rPr>
              <w:t> </w:t>
            </w:r>
            <w:r>
              <w:rPr>
                <w:sz w:val="22"/>
              </w:rPr>
              <w:t>proposals</w:t>
            </w:r>
            <w:r>
              <w:rPr>
                <w:spacing w:val="32"/>
                <w:sz w:val="22"/>
              </w:rPr>
              <w:t> </w:t>
            </w:r>
            <w:r>
              <w:rPr>
                <w:sz w:val="22"/>
              </w:rPr>
              <w:t>that</w:t>
            </w:r>
            <w:r>
              <w:rPr>
                <w:spacing w:val="33"/>
                <w:sz w:val="22"/>
              </w:rPr>
              <w:t> </w:t>
            </w:r>
            <w:r>
              <w:rPr>
                <w:sz w:val="22"/>
              </w:rPr>
              <w:t>have</w:t>
            </w:r>
            <w:r>
              <w:rPr>
                <w:spacing w:val="32"/>
                <w:sz w:val="22"/>
              </w:rPr>
              <w:t> </w:t>
            </w:r>
            <w:r>
              <w:rPr>
                <w:sz w:val="22"/>
              </w:rPr>
              <w:t>an</w:t>
            </w:r>
            <w:r>
              <w:rPr>
                <w:spacing w:val="32"/>
                <w:sz w:val="22"/>
              </w:rPr>
              <w:t> </w:t>
            </w:r>
            <w:r>
              <w:rPr>
                <w:sz w:val="22"/>
              </w:rPr>
              <w:t>identified</w:t>
            </w:r>
            <w:r>
              <w:rPr>
                <w:spacing w:val="33"/>
                <w:sz w:val="22"/>
              </w:rPr>
              <w:t> </w:t>
            </w:r>
            <w:r>
              <w:rPr>
                <w:sz w:val="22"/>
              </w:rPr>
              <w:t>parking</w:t>
            </w:r>
            <w:r>
              <w:rPr>
                <w:spacing w:val="32"/>
                <w:sz w:val="22"/>
              </w:rPr>
              <w:t> </w:t>
            </w:r>
            <w:r>
              <w:rPr>
                <w:sz w:val="22"/>
              </w:rPr>
              <w:t>need</w:t>
            </w:r>
          </w:p>
          <w:p>
            <w:pPr>
              <w:pStyle w:val="TableParagraph"/>
              <w:ind w:left="79"/>
              <w:rPr>
                <w:sz w:val="22"/>
              </w:rPr>
            </w:pPr>
            <w:r>
              <w:rPr>
                <w:sz w:val="22"/>
              </w:rPr>
              <w:t>that</w:t>
            </w:r>
            <w:r>
              <w:rPr>
                <w:spacing w:val="-14"/>
                <w:sz w:val="22"/>
              </w:rPr>
              <w:t> </w:t>
            </w:r>
            <w:r>
              <w:rPr>
                <w:sz w:val="22"/>
              </w:rPr>
              <w:t>cannot</w:t>
            </w:r>
            <w:r>
              <w:rPr>
                <w:spacing w:val="-13"/>
                <w:sz w:val="22"/>
              </w:rPr>
              <w:t> </w:t>
            </w:r>
            <w:r>
              <w:rPr>
                <w:sz w:val="22"/>
              </w:rPr>
              <w:t>be</w:t>
            </w:r>
            <w:r>
              <w:rPr>
                <w:spacing w:val="-14"/>
                <w:sz w:val="22"/>
              </w:rPr>
              <w:t> </w:t>
            </w:r>
            <w:r>
              <w:rPr>
                <w:sz w:val="22"/>
              </w:rPr>
              <w:t>accommodated</w:t>
            </w:r>
            <w:r>
              <w:rPr>
                <w:spacing w:val="-14"/>
                <w:sz w:val="22"/>
              </w:rPr>
              <w:t> </w:t>
            </w:r>
            <w:r>
              <w:rPr>
                <w:sz w:val="22"/>
              </w:rPr>
              <w:t>within</w:t>
            </w:r>
            <w:r>
              <w:rPr>
                <w:spacing w:val="-14"/>
                <w:sz w:val="22"/>
              </w:rPr>
              <w:t> </w:t>
            </w:r>
            <w:r>
              <w:rPr>
                <w:sz w:val="22"/>
              </w:rPr>
              <w:t>the</w:t>
            </w:r>
            <w:r>
              <w:rPr>
                <w:spacing w:val="-14"/>
                <w:sz w:val="22"/>
              </w:rPr>
              <w:t> </w:t>
            </w:r>
            <w:r>
              <w:rPr>
                <w:sz w:val="22"/>
              </w:rPr>
              <w:t>application</w:t>
            </w:r>
            <w:r>
              <w:rPr>
                <w:spacing w:val="-12"/>
                <w:sz w:val="22"/>
              </w:rPr>
              <w:t> </w:t>
            </w:r>
            <w:r>
              <w:rPr>
                <w:sz w:val="22"/>
              </w:rPr>
              <w:t>site.</w:t>
            </w:r>
          </w:p>
        </w:tc>
        <w:tc>
          <w:tcPr>
            <w:tcW w:w="1101" w:type="dxa"/>
          </w:tcPr>
          <w:p>
            <w:pPr>
              <w:pStyle w:val="TableParagraph"/>
              <w:spacing w:before="0"/>
              <w:ind w:left="0"/>
              <w:rPr>
                <w:rFonts w:ascii="Times New Roman"/>
                <w:sz w:val="22"/>
              </w:rPr>
            </w:pPr>
          </w:p>
        </w:tc>
      </w:tr>
      <w:tr>
        <w:trPr>
          <w:trHeight w:val="3996" w:hRule="atLeast"/>
        </w:trPr>
        <w:tc>
          <w:tcPr>
            <w:tcW w:w="2893" w:type="dxa"/>
            <w:shd w:val="clear" w:color="auto" w:fill="E2DDD9"/>
          </w:tcPr>
          <w:p>
            <w:pPr>
              <w:pStyle w:val="TableParagraph"/>
              <w:spacing w:before="19"/>
              <w:ind w:left="80"/>
              <w:rPr>
                <w:sz w:val="22"/>
              </w:rPr>
            </w:pPr>
            <w:r>
              <w:rPr>
                <w:sz w:val="22"/>
              </w:rPr>
              <w:t>16. Planning Statement</w:t>
            </w:r>
          </w:p>
        </w:tc>
        <w:tc>
          <w:tcPr>
            <w:tcW w:w="5624" w:type="dxa"/>
          </w:tcPr>
          <w:p>
            <w:pPr>
              <w:pStyle w:val="TableParagraph"/>
              <w:spacing w:line="249" w:lineRule="auto" w:before="19"/>
              <w:ind w:left="79" w:right="375"/>
              <w:jc w:val="both"/>
              <w:rPr>
                <w:sz w:val="22"/>
              </w:rPr>
            </w:pPr>
            <w:r>
              <w:rPr>
                <w:sz w:val="22"/>
              </w:rPr>
              <w:t>For all proposals except for householder applications and advertisement consents. It shall include:</w:t>
            </w:r>
          </w:p>
          <w:p>
            <w:pPr>
              <w:pStyle w:val="TableParagraph"/>
              <w:numPr>
                <w:ilvl w:val="0"/>
                <w:numId w:val="25"/>
              </w:numPr>
              <w:tabs>
                <w:tab w:pos="440" w:val="left" w:leader="none"/>
              </w:tabs>
              <w:spacing w:line="249" w:lineRule="auto" w:before="2" w:after="0"/>
              <w:ind w:left="439" w:right="260" w:hanging="360"/>
              <w:jc w:val="both"/>
              <w:rPr>
                <w:sz w:val="22"/>
              </w:rPr>
            </w:pPr>
            <w:r>
              <w:rPr>
                <w:sz w:val="22"/>
              </w:rPr>
              <w:t>A statement to identify which planning policies the application is submitted under and how it</w:t>
            </w:r>
            <w:r>
              <w:rPr>
                <w:spacing w:val="-25"/>
                <w:sz w:val="22"/>
              </w:rPr>
              <w:t> </w:t>
            </w:r>
            <w:r>
              <w:rPr>
                <w:sz w:val="22"/>
              </w:rPr>
              <w:t>complies with the policies</w:t>
            </w:r>
            <w:r>
              <w:rPr>
                <w:spacing w:val="-4"/>
                <w:sz w:val="22"/>
              </w:rPr>
              <w:t> </w:t>
            </w:r>
            <w:r>
              <w:rPr>
                <w:sz w:val="22"/>
              </w:rPr>
              <w:t>identified.</w:t>
            </w:r>
          </w:p>
          <w:p>
            <w:pPr>
              <w:pStyle w:val="TableParagraph"/>
              <w:numPr>
                <w:ilvl w:val="0"/>
                <w:numId w:val="25"/>
              </w:numPr>
              <w:tabs>
                <w:tab w:pos="439" w:val="left" w:leader="none"/>
                <w:tab w:pos="440" w:val="left" w:leader="none"/>
              </w:tabs>
              <w:spacing w:line="249" w:lineRule="auto" w:before="3" w:after="0"/>
              <w:ind w:left="439" w:right="247" w:hanging="360"/>
              <w:jc w:val="left"/>
              <w:rPr>
                <w:sz w:val="22"/>
              </w:rPr>
            </w:pPr>
            <w:r>
              <w:rPr>
                <w:sz w:val="22"/>
              </w:rPr>
              <w:t>A justification for an exception to planning policy where a proposed development is submitted as</w:t>
            </w:r>
            <w:r>
              <w:rPr>
                <w:spacing w:val="-30"/>
                <w:sz w:val="22"/>
              </w:rPr>
              <w:t> </w:t>
            </w:r>
            <w:r>
              <w:rPr>
                <w:sz w:val="22"/>
              </w:rPr>
              <w:t>an exception to</w:t>
            </w:r>
            <w:r>
              <w:rPr>
                <w:spacing w:val="-2"/>
                <w:sz w:val="22"/>
              </w:rPr>
              <w:t> </w:t>
            </w:r>
            <w:r>
              <w:rPr>
                <w:spacing w:val="-4"/>
                <w:sz w:val="22"/>
              </w:rPr>
              <w:t>policy.</w:t>
            </w:r>
          </w:p>
          <w:p>
            <w:pPr>
              <w:pStyle w:val="TableParagraph"/>
              <w:spacing w:before="2"/>
              <w:ind w:left="0"/>
              <w:rPr>
                <w:sz w:val="23"/>
              </w:rPr>
            </w:pPr>
          </w:p>
          <w:p>
            <w:pPr>
              <w:pStyle w:val="TableParagraph"/>
              <w:spacing w:line="249" w:lineRule="auto" w:before="0"/>
              <w:ind w:left="79" w:right="88"/>
              <w:rPr>
                <w:sz w:val="22"/>
              </w:rPr>
            </w:pPr>
            <w:r>
              <w:rPr>
                <w:sz w:val="22"/>
              </w:rPr>
              <w:t>Where a Certificate of Lawful Development is submitted it must be accompanied by a planning statement identifying how the development complies with The Planning (General Permitted Development) Order 2015 or so amended.</w:t>
            </w:r>
          </w:p>
        </w:tc>
        <w:tc>
          <w:tcPr>
            <w:tcW w:w="1101" w:type="dxa"/>
          </w:tcPr>
          <w:p>
            <w:pPr>
              <w:pStyle w:val="TableParagraph"/>
              <w:spacing w:before="0"/>
              <w:ind w:left="0"/>
              <w:rPr>
                <w:rFonts w:ascii="Times New Roman"/>
                <w:sz w:val="22"/>
              </w:rPr>
            </w:pPr>
          </w:p>
        </w:tc>
      </w:tr>
      <w:tr>
        <w:trPr>
          <w:trHeight w:val="1092" w:hRule="atLeast"/>
        </w:trPr>
        <w:tc>
          <w:tcPr>
            <w:tcW w:w="2893" w:type="dxa"/>
            <w:shd w:val="clear" w:color="auto" w:fill="E2DDD9"/>
          </w:tcPr>
          <w:p>
            <w:pPr>
              <w:pStyle w:val="TableParagraph"/>
              <w:spacing w:line="249" w:lineRule="auto" w:before="19"/>
              <w:ind w:left="80" w:right="278"/>
              <w:rPr>
                <w:sz w:val="22"/>
              </w:rPr>
            </w:pPr>
            <w:r>
              <w:rPr>
                <w:sz w:val="22"/>
              </w:rPr>
              <w:t>17. Pre-Development Enquiry response from NI Water</w:t>
            </w:r>
          </w:p>
        </w:tc>
        <w:tc>
          <w:tcPr>
            <w:tcW w:w="5624" w:type="dxa"/>
          </w:tcPr>
          <w:p>
            <w:pPr>
              <w:pStyle w:val="TableParagraph"/>
              <w:spacing w:line="249" w:lineRule="auto" w:before="19"/>
              <w:ind w:left="79" w:right="278"/>
              <w:rPr>
                <w:sz w:val="22"/>
              </w:rPr>
            </w:pPr>
            <w:r>
              <w:rPr>
                <w:sz w:val="22"/>
              </w:rPr>
              <w:t>For all development proposing a new connection to, or an intensification of, the existing water or</w:t>
            </w:r>
            <w:r>
              <w:rPr>
                <w:spacing w:val="-35"/>
                <w:sz w:val="22"/>
              </w:rPr>
              <w:t> </w:t>
            </w:r>
            <w:r>
              <w:rPr>
                <w:sz w:val="22"/>
              </w:rPr>
              <w:t>sewerage infrastructure.</w:t>
            </w:r>
          </w:p>
        </w:tc>
        <w:tc>
          <w:tcPr>
            <w:tcW w:w="1101" w:type="dxa"/>
          </w:tcPr>
          <w:p>
            <w:pPr>
              <w:pStyle w:val="TableParagraph"/>
              <w:spacing w:before="0"/>
              <w:ind w:left="0"/>
              <w:rPr>
                <w:rFonts w:ascii="Times New Roman"/>
                <w:sz w:val="22"/>
              </w:rPr>
            </w:pPr>
          </w:p>
        </w:tc>
      </w:tr>
      <w:tr>
        <w:trPr>
          <w:trHeight w:val="4260" w:hRule="atLeast"/>
        </w:trPr>
        <w:tc>
          <w:tcPr>
            <w:tcW w:w="2893" w:type="dxa"/>
            <w:shd w:val="clear" w:color="auto" w:fill="E2DDD9"/>
          </w:tcPr>
          <w:p>
            <w:pPr>
              <w:pStyle w:val="TableParagraph"/>
              <w:spacing w:line="249" w:lineRule="auto" w:before="19"/>
              <w:ind w:left="80" w:right="1122"/>
              <w:rPr>
                <w:sz w:val="22"/>
              </w:rPr>
            </w:pPr>
            <w:r>
              <w:rPr>
                <w:sz w:val="22"/>
              </w:rPr>
              <w:t>18. Retail Impact Assessment</w:t>
            </w:r>
          </w:p>
        </w:tc>
        <w:tc>
          <w:tcPr>
            <w:tcW w:w="5624" w:type="dxa"/>
          </w:tcPr>
          <w:p>
            <w:pPr>
              <w:pStyle w:val="TableParagraph"/>
              <w:spacing w:before="19"/>
              <w:ind w:left="79"/>
              <w:rPr>
                <w:sz w:val="22"/>
              </w:rPr>
            </w:pPr>
            <w:r>
              <w:rPr>
                <w:color w:val="000101"/>
                <w:sz w:val="22"/>
              </w:rPr>
              <w:t>Applications for:</w:t>
            </w:r>
          </w:p>
          <w:p>
            <w:pPr>
              <w:pStyle w:val="TableParagraph"/>
              <w:numPr>
                <w:ilvl w:val="0"/>
                <w:numId w:val="26"/>
              </w:numPr>
              <w:tabs>
                <w:tab w:pos="439" w:val="left" w:leader="none"/>
                <w:tab w:pos="440" w:val="left" w:leader="none"/>
              </w:tabs>
              <w:spacing w:line="249" w:lineRule="auto" w:before="11" w:after="0"/>
              <w:ind w:left="439" w:right="58" w:hanging="360"/>
              <w:jc w:val="left"/>
              <w:rPr>
                <w:sz w:val="22"/>
              </w:rPr>
            </w:pPr>
            <w:r>
              <w:rPr>
                <w:color w:val="000101"/>
                <w:sz w:val="22"/>
              </w:rPr>
              <w:t>Retail or town centre type developments above a threshold of 1000 square metres gross external</w:t>
            </w:r>
            <w:r>
              <w:rPr>
                <w:color w:val="000101"/>
                <w:spacing w:val="-31"/>
                <w:sz w:val="22"/>
              </w:rPr>
              <w:t> </w:t>
            </w:r>
            <w:r>
              <w:rPr>
                <w:color w:val="000101"/>
                <w:sz w:val="22"/>
              </w:rPr>
              <w:t>area which are not proposed in a town centre location and are not in accordance with the</w:t>
            </w:r>
            <w:r>
              <w:rPr>
                <w:color w:val="000101"/>
                <w:spacing w:val="-11"/>
                <w:sz w:val="22"/>
              </w:rPr>
              <w:t> </w:t>
            </w:r>
            <w:r>
              <w:rPr>
                <w:color w:val="000101"/>
                <w:spacing w:val="-8"/>
                <w:sz w:val="22"/>
              </w:rPr>
              <w:t>LDP.</w:t>
            </w:r>
          </w:p>
          <w:p>
            <w:pPr>
              <w:pStyle w:val="TableParagraph"/>
              <w:numPr>
                <w:ilvl w:val="0"/>
                <w:numId w:val="26"/>
              </w:numPr>
              <w:tabs>
                <w:tab w:pos="439" w:val="left" w:leader="none"/>
                <w:tab w:pos="440" w:val="left" w:leader="none"/>
              </w:tabs>
              <w:spacing w:line="249" w:lineRule="auto" w:before="4" w:after="0"/>
              <w:ind w:left="439" w:right="333" w:hanging="360"/>
              <w:jc w:val="left"/>
              <w:rPr>
                <w:sz w:val="22"/>
              </w:rPr>
            </w:pPr>
            <w:r>
              <w:rPr>
                <w:color w:val="000101"/>
                <w:sz w:val="22"/>
              </w:rPr>
              <w:t>An extension to a retail or town centre type development which would result in the overall development exceeding 1000 square metre</w:t>
            </w:r>
            <w:r>
              <w:rPr>
                <w:color w:val="000101"/>
                <w:spacing w:val="-27"/>
                <w:sz w:val="22"/>
              </w:rPr>
              <w:t> </w:t>
            </w:r>
            <w:r>
              <w:rPr>
                <w:color w:val="000101"/>
                <w:sz w:val="22"/>
              </w:rPr>
              <w:t>gross external</w:t>
            </w:r>
            <w:r>
              <w:rPr>
                <w:color w:val="000101"/>
                <w:spacing w:val="-2"/>
                <w:sz w:val="22"/>
              </w:rPr>
              <w:t> </w:t>
            </w:r>
            <w:r>
              <w:rPr>
                <w:color w:val="000101"/>
                <w:sz w:val="22"/>
              </w:rPr>
              <w:t>area.</w:t>
            </w:r>
          </w:p>
          <w:p>
            <w:pPr>
              <w:pStyle w:val="TableParagraph"/>
              <w:spacing w:before="3"/>
              <w:ind w:left="0"/>
              <w:rPr>
                <w:sz w:val="23"/>
              </w:rPr>
            </w:pPr>
          </w:p>
          <w:p>
            <w:pPr>
              <w:pStyle w:val="TableParagraph"/>
              <w:spacing w:before="0"/>
              <w:ind w:left="79"/>
              <w:rPr>
                <w:sz w:val="22"/>
              </w:rPr>
            </w:pPr>
            <w:r>
              <w:rPr>
                <w:color w:val="000101"/>
                <w:sz w:val="22"/>
              </w:rPr>
              <w:t>Please Note:</w:t>
            </w:r>
          </w:p>
          <w:p>
            <w:pPr>
              <w:pStyle w:val="TableParagraph"/>
              <w:spacing w:line="249" w:lineRule="auto"/>
              <w:ind w:left="79"/>
              <w:rPr>
                <w:sz w:val="22"/>
              </w:rPr>
            </w:pPr>
            <w:r>
              <w:rPr>
                <w:color w:val="000101"/>
                <w:sz w:val="22"/>
              </w:rPr>
              <w:t>For any application for retail development when there is no current and up-to-date LDP, applicants must prepare a statement to support their application in accordance with Para 6.289 of SSPS Edition 2.</w:t>
            </w:r>
          </w:p>
        </w:tc>
        <w:tc>
          <w:tcPr>
            <w:tcW w:w="1101" w:type="dxa"/>
          </w:tcPr>
          <w:p>
            <w:pPr>
              <w:pStyle w:val="TableParagraph"/>
              <w:spacing w:before="0"/>
              <w:ind w:left="0"/>
              <w:rPr>
                <w:rFonts w:ascii="Times New Roman"/>
                <w:sz w:val="22"/>
              </w:rPr>
            </w:pPr>
          </w:p>
        </w:tc>
      </w:tr>
    </w:tbl>
    <w:p>
      <w:pPr>
        <w:spacing w:after="0"/>
        <w:rPr>
          <w:rFonts w:ascii="Times New Roman"/>
          <w:sz w:val="22"/>
        </w:rPr>
        <w:sectPr>
          <w:pgSz w:w="11910" w:h="16840"/>
          <w:pgMar w:header="0" w:footer="668" w:top="1120" w:bottom="860" w:left="1020" w:right="1020"/>
        </w:sectPr>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93"/>
        <w:gridCol w:w="5681"/>
        <w:gridCol w:w="1045"/>
      </w:tblGrid>
      <w:tr>
        <w:trPr>
          <w:trHeight w:val="602" w:hRule="atLeast"/>
        </w:trPr>
        <w:tc>
          <w:tcPr>
            <w:tcW w:w="2893" w:type="dxa"/>
            <w:shd w:val="clear" w:color="auto" w:fill="EE3124"/>
          </w:tcPr>
          <w:p>
            <w:pPr>
              <w:pStyle w:val="TableParagraph"/>
              <w:spacing w:line="280" w:lineRule="atLeast"/>
              <w:ind w:left="80" w:right="79"/>
              <w:rPr>
                <w:b/>
                <w:sz w:val="24"/>
              </w:rPr>
            </w:pPr>
            <w:r>
              <w:rPr>
                <w:b/>
                <w:color w:val="FFFFFF"/>
                <w:sz w:val="24"/>
              </w:rPr>
              <w:t>Application Information Required</w:t>
            </w:r>
          </w:p>
        </w:tc>
        <w:tc>
          <w:tcPr>
            <w:tcW w:w="5681" w:type="dxa"/>
            <w:shd w:val="clear" w:color="auto" w:fill="EE3124"/>
          </w:tcPr>
          <w:p>
            <w:pPr>
              <w:pStyle w:val="TableParagraph"/>
              <w:spacing w:before="15"/>
              <w:ind w:left="79"/>
              <w:rPr>
                <w:b/>
                <w:sz w:val="24"/>
              </w:rPr>
            </w:pPr>
            <w:r>
              <w:rPr>
                <w:b/>
                <w:color w:val="FFFFFF"/>
                <w:sz w:val="24"/>
              </w:rPr>
              <w:t>Type of Application</w:t>
            </w:r>
          </w:p>
        </w:tc>
        <w:tc>
          <w:tcPr>
            <w:tcW w:w="1045" w:type="dxa"/>
            <w:shd w:val="clear" w:color="auto" w:fill="EE3124"/>
          </w:tcPr>
          <w:p>
            <w:pPr>
              <w:pStyle w:val="TableParagraph"/>
              <w:spacing w:before="15"/>
              <w:ind w:left="79"/>
              <w:rPr>
                <w:b/>
                <w:sz w:val="24"/>
              </w:rPr>
            </w:pPr>
            <w:r>
              <w:rPr>
                <w:b/>
                <w:color w:val="FFFFFF"/>
                <w:sz w:val="24"/>
              </w:rPr>
              <w:t>Y or N</w:t>
            </w:r>
          </w:p>
          <w:p>
            <w:pPr>
              <w:pStyle w:val="TableParagraph"/>
              <w:spacing w:before="12"/>
              <w:ind w:left="79"/>
              <w:rPr>
                <w:b/>
                <w:sz w:val="24"/>
              </w:rPr>
            </w:pPr>
            <w:r>
              <w:rPr>
                <w:b/>
                <w:color w:val="FFFFFF"/>
                <w:sz w:val="24"/>
              </w:rPr>
              <w:t>confirm</w:t>
            </w:r>
          </w:p>
        </w:tc>
      </w:tr>
      <w:tr>
        <w:trPr>
          <w:trHeight w:val="1092" w:hRule="atLeast"/>
        </w:trPr>
        <w:tc>
          <w:tcPr>
            <w:tcW w:w="2893" w:type="dxa"/>
            <w:shd w:val="clear" w:color="auto" w:fill="E2DDD9"/>
          </w:tcPr>
          <w:p>
            <w:pPr>
              <w:pStyle w:val="TableParagraph"/>
              <w:spacing w:before="20"/>
              <w:ind w:left="80"/>
              <w:rPr>
                <w:sz w:val="22"/>
              </w:rPr>
            </w:pPr>
            <w:r>
              <w:rPr>
                <w:sz w:val="22"/>
              </w:rPr>
              <w:t>19. Renewable Report</w:t>
            </w:r>
          </w:p>
        </w:tc>
        <w:tc>
          <w:tcPr>
            <w:tcW w:w="5681" w:type="dxa"/>
          </w:tcPr>
          <w:p>
            <w:pPr>
              <w:pStyle w:val="TableParagraph"/>
              <w:spacing w:line="249" w:lineRule="auto" w:before="20"/>
              <w:ind w:left="79" w:right="46"/>
              <w:rPr>
                <w:sz w:val="22"/>
              </w:rPr>
            </w:pPr>
            <w:r>
              <w:rPr>
                <w:sz w:val="22"/>
              </w:rPr>
              <w:t>All applications for renewable or low carbon energy must be accompanied by a report to satisfy Para 6.223 of the Strategic Planning Policy Statement, Edition 2, 2025.</w:t>
            </w:r>
          </w:p>
        </w:tc>
        <w:tc>
          <w:tcPr>
            <w:tcW w:w="1045" w:type="dxa"/>
          </w:tcPr>
          <w:p>
            <w:pPr>
              <w:pStyle w:val="TableParagraph"/>
              <w:spacing w:before="0"/>
              <w:ind w:left="0"/>
              <w:rPr>
                <w:rFonts w:ascii="Times New Roman"/>
                <w:sz w:val="22"/>
              </w:rPr>
            </w:pPr>
          </w:p>
        </w:tc>
      </w:tr>
      <w:tr>
        <w:trPr>
          <w:trHeight w:val="1092" w:hRule="atLeast"/>
        </w:trPr>
        <w:tc>
          <w:tcPr>
            <w:tcW w:w="2893" w:type="dxa"/>
            <w:shd w:val="clear" w:color="auto" w:fill="E2DDD9"/>
          </w:tcPr>
          <w:p>
            <w:pPr>
              <w:pStyle w:val="TableParagraph"/>
              <w:spacing w:before="20"/>
              <w:ind w:left="80"/>
              <w:rPr>
                <w:sz w:val="22"/>
              </w:rPr>
            </w:pPr>
            <w:r>
              <w:rPr>
                <w:sz w:val="22"/>
              </w:rPr>
              <w:t>20. Sequential Test</w:t>
            </w:r>
          </w:p>
        </w:tc>
        <w:tc>
          <w:tcPr>
            <w:tcW w:w="5681" w:type="dxa"/>
          </w:tcPr>
          <w:p>
            <w:pPr>
              <w:pStyle w:val="TableParagraph"/>
              <w:spacing w:line="249" w:lineRule="auto" w:before="20"/>
              <w:ind w:left="79" w:right="211"/>
              <w:jc w:val="both"/>
              <w:rPr>
                <w:sz w:val="22"/>
              </w:rPr>
            </w:pPr>
            <w:r>
              <w:rPr>
                <w:sz w:val="22"/>
              </w:rPr>
              <w:t>All planning applications for main town centre uses that are not in an existing centre and are not in accordance with an up-to-date LDP.</w:t>
            </w:r>
          </w:p>
        </w:tc>
        <w:tc>
          <w:tcPr>
            <w:tcW w:w="1045" w:type="dxa"/>
          </w:tcPr>
          <w:p>
            <w:pPr>
              <w:pStyle w:val="TableParagraph"/>
              <w:spacing w:before="0"/>
              <w:ind w:left="0"/>
              <w:rPr>
                <w:rFonts w:ascii="Times New Roman"/>
                <w:sz w:val="22"/>
              </w:rPr>
            </w:pPr>
          </w:p>
        </w:tc>
      </w:tr>
      <w:tr>
        <w:trPr>
          <w:trHeight w:val="1092" w:hRule="atLeast"/>
        </w:trPr>
        <w:tc>
          <w:tcPr>
            <w:tcW w:w="2893" w:type="dxa"/>
            <w:shd w:val="clear" w:color="auto" w:fill="E2DDD9"/>
          </w:tcPr>
          <w:p>
            <w:pPr>
              <w:pStyle w:val="TableParagraph"/>
              <w:spacing w:before="19"/>
              <w:ind w:left="80"/>
              <w:rPr>
                <w:sz w:val="22"/>
              </w:rPr>
            </w:pPr>
            <w:r>
              <w:rPr>
                <w:sz w:val="22"/>
              </w:rPr>
              <w:t>21. Shadow Flicker Analysis</w:t>
            </w:r>
          </w:p>
        </w:tc>
        <w:tc>
          <w:tcPr>
            <w:tcW w:w="5681" w:type="dxa"/>
          </w:tcPr>
          <w:p>
            <w:pPr>
              <w:pStyle w:val="TableParagraph"/>
              <w:spacing w:line="249" w:lineRule="auto" w:before="19"/>
              <w:ind w:left="79" w:right="279"/>
              <w:rPr>
                <w:sz w:val="22"/>
              </w:rPr>
            </w:pPr>
            <w:r>
              <w:rPr>
                <w:sz w:val="22"/>
              </w:rPr>
              <w:t>For applications for a wind turbine for properties within 130 degrees either side of north relative to the wind turbine.</w:t>
            </w:r>
          </w:p>
        </w:tc>
        <w:tc>
          <w:tcPr>
            <w:tcW w:w="1045" w:type="dxa"/>
          </w:tcPr>
          <w:p>
            <w:pPr>
              <w:pStyle w:val="TableParagraph"/>
              <w:spacing w:before="0"/>
              <w:ind w:left="0"/>
              <w:rPr>
                <w:rFonts w:ascii="Times New Roman"/>
                <w:sz w:val="22"/>
              </w:rPr>
            </w:pPr>
          </w:p>
        </w:tc>
      </w:tr>
      <w:tr>
        <w:trPr>
          <w:trHeight w:val="828" w:hRule="atLeast"/>
        </w:trPr>
        <w:tc>
          <w:tcPr>
            <w:tcW w:w="2893" w:type="dxa"/>
            <w:shd w:val="clear" w:color="auto" w:fill="E2DDD9"/>
          </w:tcPr>
          <w:p>
            <w:pPr>
              <w:pStyle w:val="TableParagraph"/>
              <w:spacing w:line="249" w:lineRule="auto" w:before="19"/>
              <w:ind w:left="80" w:right="79"/>
              <w:rPr>
                <w:sz w:val="22"/>
              </w:rPr>
            </w:pPr>
            <w:r>
              <w:rPr>
                <w:sz w:val="22"/>
              </w:rPr>
              <w:t>22. Telecommunications Supporting Statement</w:t>
            </w:r>
          </w:p>
        </w:tc>
        <w:tc>
          <w:tcPr>
            <w:tcW w:w="5681" w:type="dxa"/>
          </w:tcPr>
          <w:p>
            <w:pPr>
              <w:pStyle w:val="TableParagraph"/>
              <w:tabs>
                <w:tab w:pos="671" w:val="left" w:leader="none"/>
                <w:tab w:pos="1152" w:val="left" w:leader="none"/>
                <w:tab w:pos="2366" w:val="left" w:leader="none"/>
                <w:tab w:pos="2884" w:val="left" w:leader="none"/>
                <w:tab w:pos="3268" w:val="left" w:leader="none"/>
                <w:tab w:pos="3932" w:val="left" w:leader="none"/>
                <w:tab w:pos="4389" w:val="left" w:leader="none"/>
              </w:tabs>
              <w:spacing w:line="249" w:lineRule="auto" w:before="19"/>
              <w:ind w:left="79" w:right="58"/>
              <w:rPr>
                <w:sz w:val="22"/>
              </w:rPr>
            </w:pPr>
            <w:r>
              <w:rPr>
                <w:sz w:val="22"/>
              </w:rPr>
              <w:t>For</w:t>
              <w:tab/>
              <w:t>all</w:t>
              <w:tab/>
              <w:t>proposals</w:t>
              <w:tab/>
              <w:t>for</w:t>
              <w:tab/>
              <w:t>a</w:t>
              <w:tab/>
              <w:t>new</w:t>
              <w:tab/>
              <w:t>or</w:t>
              <w:tab/>
            </w:r>
            <w:r>
              <w:rPr>
                <w:spacing w:val="-1"/>
                <w:sz w:val="22"/>
              </w:rPr>
              <w:t>replacement </w:t>
            </w:r>
            <w:r>
              <w:rPr>
                <w:sz w:val="22"/>
              </w:rPr>
              <w:t>telecommunications masts.</w:t>
            </w:r>
          </w:p>
        </w:tc>
        <w:tc>
          <w:tcPr>
            <w:tcW w:w="1045" w:type="dxa"/>
          </w:tcPr>
          <w:p>
            <w:pPr>
              <w:pStyle w:val="TableParagraph"/>
              <w:spacing w:before="0"/>
              <w:ind w:left="0"/>
              <w:rPr>
                <w:rFonts w:ascii="Times New Roman"/>
                <w:sz w:val="22"/>
              </w:rPr>
            </w:pPr>
          </w:p>
        </w:tc>
      </w:tr>
      <w:tr>
        <w:trPr>
          <w:trHeight w:val="2676" w:hRule="atLeast"/>
        </w:trPr>
        <w:tc>
          <w:tcPr>
            <w:tcW w:w="2893" w:type="dxa"/>
            <w:shd w:val="clear" w:color="auto" w:fill="E2DDD9"/>
          </w:tcPr>
          <w:p>
            <w:pPr>
              <w:pStyle w:val="TableParagraph"/>
              <w:spacing w:line="249" w:lineRule="auto" w:before="19"/>
              <w:ind w:left="80" w:right="79"/>
              <w:rPr>
                <w:sz w:val="22"/>
              </w:rPr>
            </w:pPr>
            <w:r>
              <w:rPr>
                <w:sz w:val="22"/>
              </w:rPr>
              <w:t>23. Transport Assessment Form (TAF)</w:t>
            </w:r>
          </w:p>
        </w:tc>
        <w:tc>
          <w:tcPr>
            <w:tcW w:w="5681" w:type="dxa"/>
          </w:tcPr>
          <w:p>
            <w:pPr>
              <w:pStyle w:val="TableParagraph"/>
              <w:spacing w:before="19"/>
              <w:ind w:left="79"/>
              <w:rPr>
                <w:sz w:val="22"/>
              </w:rPr>
            </w:pPr>
            <w:r>
              <w:rPr>
                <w:sz w:val="22"/>
              </w:rPr>
              <w:t>For the following types of proposals:</w:t>
            </w:r>
          </w:p>
          <w:p>
            <w:pPr>
              <w:pStyle w:val="TableParagraph"/>
              <w:numPr>
                <w:ilvl w:val="0"/>
                <w:numId w:val="27"/>
              </w:numPr>
              <w:tabs>
                <w:tab w:pos="439" w:val="left" w:leader="none"/>
                <w:tab w:pos="440" w:val="left" w:leader="none"/>
              </w:tabs>
              <w:spacing w:line="240" w:lineRule="auto" w:before="11" w:after="0"/>
              <w:ind w:left="439" w:right="0" w:hanging="361"/>
              <w:jc w:val="left"/>
              <w:rPr>
                <w:sz w:val="22"/>
              </w:rPr>
            </w:pPr>
            <w:r>
              <w:rPr>
                <w:sz w:val="22"/>
              </w:rPr>
              <w:t>Residential comprising 10 or more</w:t>
            </w:r>
            <w:r>
              <w:rPr>
                <w:spacing w:val="-7"/>
                <w:sz w:val="22"/>
              </w:rPr>
              <w:t> </w:t>
            </w:r>
            <w:r>
              <w:rPr>
                <w:sz w:val="22"/>
              </w:rPr>
              <w:t>units</w:t>
            </w:r>
          </w:p>
          <w:p>
            <w:pPr>
              <w:pStyle w:val="TableParagraph"/>
              <w:numPr>
                <w:ilvl w:val="0"/>
                <w:numId w:val="27"/>
              </w:numPr>
              <w:tabs>
                <w:tab w:pos="439" w:val="left" w:leader="none"/>
                <w:tab w:pos="440" w:val="left" w:leader="none"/>
              </w:tabs>
              <w:spacing w:line="240" w:lineRule="auto" w:before="11" w:after="0"/>
              <w:ind w:left="439" w:right="0" w:hanging="361"/>
              <w:jc w:val="left"/>
              <w:rPr>
                <w:sz w:val="22"/>
              </w:rPr>
            </w:pPr>
            <w:r>
              <w:rPr>
                <w:sz w:val="22"/>
              </w:rPr>
              <w:t>Non-residential with a gross floor area of 500</w:t>
            </w:r>
            <w:r>
              <w:rPr>
                <w:spacing w:val="24"/>
                <w:sz w:val="22"/>
              </w:rPr>
              <w:t> </w:t>
            </w:r>
            <w:r>
              <w:rPr>
                <w:sz w:val="22"/>
              </w:rPr>
              <w:t>square</w:t>
            </w:r>
          </w:p>
          <w:p>
            <w:pPr>
              <w:pStyle w:val="TableParagraph"/>
              <w:rPr>
                <w:sz w:val="22"/>
              </w:rPr>
            </w:pPr>
            <w:r>
              <w:rPr>
                <w:sz w:val="22"/>
              </w:rPr>
              <w:t>metres or more</w:t>
            </w:r>
          </w:p>
          <w:p>
            <w:pPr>
              <w:pStyle w:val="TableParagraph"/>
              <w:numPr>
                <w:ilvl w:val="0"/>
                <w:numId w:val="27"/>
              </w:numPr>
              <w:tabs>
                <w:tab w:pos="439" w:val="left" w:leader="none"/>
                <w:tab w:pos="440" w:val="left" w:leader="none"/>
              </w:tabs>
              <w:spacing w:line="249" w:lineRule="auto" w:before="11" w:after="0"/>
              <w:ind w:left="439" w:right="59" w:hanging="360"/>
              <w:jc w:val="left"/>
              <w:rPr>
                <w:sz w:val="22"/>
              </w:rPr>
            </w:pPr>
            <w:r>
              <w:rPr>
                <w:sz w:val="22"/>
              </w:rPr>
              <w:t>Likely to generate 30 or more vehicle movements</w:t>
            </w:r>
            <w:r>
              <w:rPr>
                <w:spacing w:val="-44"/>
                <w:sz w:val="22"/>
              </w:rPr>
              <w:t> </w:t>
            </w:r>
            <w:r>
              <w:rPr>
                <w:sz w:val="22"/>
              </w:rPr>
              <w:t>per hour</w:t>
            </w:r>
          </w:p>
          <w:p>
            <w:pPr>
              <w:pStyle w:val="TableParagraph"/>
              <w:numPr>
                <w:ilvl w:val="0"/>
                <w:numId w:val="27"/>
              </w:numPr>
              <w:tabs>
                <w:tab w:pos="439" w:val="left" w:leader="none"/>
                <w:tab w:pos="440" w:val="left" w:leader="none"/>
              </w:tabs>
              <w:spacing w:line="249" w:lineRule="auto" w:before="2" w:after="0"/>
              <w:ind w:left="439" w:right="58" w:hanging="360"/>
              <w:jc w:val="left"/>
              <w:rPr>
                <w:sz w:val="22"/>
              </w:rPr>
            </w:pPr>
            <w:r>
              <w:rPr>
                <w:sz w:val="22"/>
              </w:rPr>
              <w:t>Likely to generate 5 or more freight movements per day</w:t>
            </w:r>
          </w:p>
        </w:tc>
        <w:tc>
          <w:tcPr>
            <w:tcW w:w="1045" w:type="dxa"/>
          </w:tcPr>
          <w:p>
            <w:pPr>
              <w:pStyle w:val="TableParagraph"/>
              <w:spacing w:before="0"/>
              <w:ind w:left="0"/>
              <w:rPr>
                <w:rFonts w:ascii="Times New Roman"/>
                <w:sz w:val="22"/>
              </w:rPr>
            </w:pPr>
          </w:p>
        </w:tc>
      </w:tr>
      <w:tr>
        <w:trPr>
          <w:trHeight w:val="5844" w:hRule="atLeast"/>
        </w:trPr>
        <w:tc>
          <w:tcPr>
            <w:tcW w:w="2893" w:type="dxa"/>
            <w:shd w:val="clear" w:color="auto" w:fill="E2DDD9"/>
          </w:tcPr>
          <w:p>
            <w:pPr>
              <w:pStyle w:val="TableParagraph"/>
              <w:spacing w:before="19"/>
              <w:ind w:left="80"/>
              <w:rPr>
                <w:sz w:val="22"/>
              </w:rPr>
            </w:pPr>
            <w:r>
              <w:rPr>
                <w:sz w:val="22"/>
              </w:rPr>
              <w:t>24. Transport Assessment</w:t>
            </w:r>
          </w:p>
        </w:tc>
        <w:tc>
          <w:tcPr>
            <w:tcW w:w="5681" w:type="dxa"/>
          </w:tcPr>
          <w:p>
            <w:pPr>
              <w:pStyle w:val="TableParagraph"/>
              <w:spacing w:line="249" w:lineRule="auto" w:before="19"/>
              <w:ind w:left="79" w:right="58"/>
              <w:jc w:val="both"/>
              <w:rPr>
                <w:sz w:val="22"/>
              </w:rPr>
            </w:pPr>
            <w:r>
              <w:rPr>
                <w:sz w:val="22"/>
              </w:rPr>
              <w:t>This will be required where a TAF identifies that a new development is likely to have signification transport implications.</w:t>
            </w:r>
          </w:p>
          <w:p>
            <w:pPr>
              <w:pStyle w:val="TableParagraph"/>
              <w:spacing w:before="2"/>
              <w:ind w:left="0"/>
              <w:rPr>
                <w:sz w:val="23"/>
              </w:rPr>
            </w:pPr>
          </w:p>
          <w:p>
            <w:pPr>
              <w:pStyle w:val="TableParagraph"/>
              <w:spacing w:line="249" w:lineRule="auto" w:before="0"/>
              <w:ind w:left="79" w:right="57"/>
              <w:jc w:val="both"/>
              <w:rPr>
                <w:sz w:val="22"/>
              </w:rPr>
            </w:pPr>
            <w:r>
              <w:rPr>
                <w:sz w:val="22"/>
              </w:rPr>
              <w:t>As</w:t>
            </w:r>
            <w:r>
              <w:rPr>
                <w:spacing w:val="-21"/>
                <w:sz w:val="22"/>
              </w:rPr>
              <w:t> </w:t>
            </w:r>
            <w:r>
              <w:rPr>
                <w:sz w:val="22"/>
              </w:rPr>
              <w:t>a</w:t>
            </w:r>
            <w:r>
              <w:rPr>
                <w:spacing w:val="-21"/>
                <w:sz w:val="22"/>
              </w:rPr>
              <w:t> </w:t>
            </w:r>
            <w:r>
              <w:rPr>
                <w:sz w:val="22"/>
              </w:rPr>
              <w:t>guide,</w:t>
            </w:r>
            <w:r>
              <w:rPr>
                <w:spacing w:val="-21"/>
                <w:sz w:val="22"/>
              </w:rPr>
              <w:t> </w:t>
            </w:r>
            <w:r>
              <w:rPr>
                <w:sz w:val="22"/>
              </w:rPr>
              <w:t>proposals</w:t>
            </w:r>
            <w:r>
              <w:rPr>
                <w:spacing w:val="-21"/>
                <w:sz w:val="22"/>
              </w:rPr>
              <w:t> </w:t>
            </w:r>
            <w:r>
              <w:rPr>
                <w:sz w:val="22"/>
              </w:rPr>
              <w:t>exceeding</w:t>
            </w:r>
            <w:r>
              <w:rPr>
                <w:spacing w:val="-21"/>
                <w:sz w:val="22"/>
              </w:rPr>
              <w:t> </w:t>
            </w:r>
            <w:r>
              <w:rPr>
                <w:sz w:val="22"/>
              </w:rPr>
              <w:t>the</w:t>
            </w:r>
            <w:r>
              <w:rPr>
                <w:spacing w:val="-21"/>
                <w:sz w:val="22"/>
              </w:rPr>
              <w:t> </w:t>
            </w:r>
            <w:r>
              <w:rPr>
                <w:sz w:val="22"/>
              </w:rPr>
              <w:t>following</w:t>
            </w:r>
            <w:r>
              <w:rPr>
                <w:spacing w:val="-21"/>
                <w:sz w:val="22"/>
              </w:rPr>
              <w:t> </w:t>
            </w:r>
            <w:r>
              <w:rPr>
                <w:sz w:val="22"/>
              </w:rPr>
              <w:t>parameters may have sufficient transport impacts to require the completion of a detailed Transport</w:t>
            </w:r>
            <w:r>
              <w:rPr>
                <w:spacing w:val="-24"/>
                <w:sz w:val="22"/>
              </w:rPr>
              <w:t> </w:t>
            </w:r>
            <w:r>
              <w:rPr>
                <w:sz w:val="22"/>
              </w:rPr>
              <w:t>Assessment.</w:t>
            </w:r>
          </w:p>
          <w:p>
            <w:pPr>
              <w:pStyle w:val="TableParagraph"/>
              <w:numPr>
                <w:ilvl w:val="0"/>
                <w:numId w:val="28"/>
              </w:numPr>
              <w:tabs>
                <w:tab w:pos="439" w:val="left" w:leader="none"/>
                <w:tab w:pos="440" w:val="left" w:leader="none"/>
              </w:tabs>
              <w:spacing w:line="240" w:lineRule="auto" w:before="3" w:after="0"/>
              <w:ind w:left="439" w:right="0" w:hanging="361"/>
              <w:jc w:val="left"/>
              <w:rPr>
                <w:sz w:val="22"/>
              </w:rPr>
            </w:pPr>
            <w:r>
              <w:rPr>
                <w:sz w:val="22"/>
              </w:rPr>
              <w:t>Food retail - 1,000m2 Gross Floor</w:t>
            </w:r>
            <w:r>
              <w:rPr>
                <w:spacing w:val="-19"/>
                <w:sz w:val="22"/>
              </w:rPr>
              <w:t> </w:t>
            </w:r>
            <w:r>
              <w:rPr>
                <w:sz w:val="22"/>
              </w:rPr>
              <w:t>Area</w:t>
            </w:r>
          </w:p>
          <w:p>
            <w:pPr>
              <w:pStyle w:val="TableParagraph"/>
              <w:numPr>
                <w:ilvl w:val="0"/>
                <w:numId w:val="28"/>
              </w:numPr>
              <w:tabs>
                <w:tab w:pos="439" w:val="left" w:leader="none"/>
                <w:tab w:pos="440" w:val="left" w:leader="none"/>
              </w:tabs>
              <w:spacing w:line="240" w:lineRule="auto" w:before="11" w:after="0"/>
              <w:ind w:left="439" w:right="0" w:hanging="361"/>
              <w:jc w:val="left"/>
              <w:rPr>
                <w:sz w:val="22"/>
              </w:rPr>
            </w:pPr>
            <w:r>
              <w:rPr>
                <w:sz w:val="22"/>
              </w:rPr>
              <w:t>Non-food retail - 1,000m2 Gross Floor</w:t>
            </w:r>
            <w:r>
              <w:rPr>
                <w:spacing w:val="-18"/>
                <w:sz w:val="22"/>
              </w:rPr>
              <w:t> </w:t>
            </w:r>
            <w:r>
              <w:rPr>
                <w:sz w:val="22"/>
              </w:rPr>
              <w:t>Area</w:t>
            </w:r>
          </w:p>
          <w:p>
            <w:pPr>
              <w:pStyle w:val="TableParagraph"/>
              <w:numPr>
                <w:ilvl w:val="0"/>
                <w:numId w:val="28"/>
              </w:numPr>
              <w:tabs>
                <w:tab w:pos="439" w:val="left" w:leader="none"/>
                <w:tab w:pos="440" w:val="left" w:leader="none"/>
              </w:tabs>
              <w:spacing w:line="240" w:lineRule="auto" w:before="11" w:after="0"/>
              <w:ind w:left="439" w:right="0" w:hanging="361"/>
              <w:jc w:val="left"/>
              <w:rPr>
                <w:sz w:val="22"/>
              </w:rPr>
            </w:pPr>
            <w:r>
              <w:rPr>
                <w:sz w:val="22"/>
              </w:rPr>
              <w:t>Cinemas</w:t>
            </w:r>
            <w:r>
              <w:rPr>
                <w:spacing w:val="25"/>
                <w:sz w:val="22"/>
              </w:rPr>
              <w:t> </w:t>
            </w:r>
            <w:r>
              <w:rPr>
                <w:sz w:val="22"/>
              </w:rPr>
              <w:t>and</w:t>
            </w:r>
            <w:r>
              <w:rPr>
                <w:spacing w:val="26"/>
                <w:sz w:val="22"/>
              </w:rPr>
              <w:t> </w:t>
            </w:r>
            <w:r>
              <w:rPr>
                <w:sz w:val="22"/>
              </w:rPr>
              <w:t>conference</w:t>
            </w:r>
            <w:r>
              <w:rPr>
                <w:spacing w:val="26"/>
                <w:sz w:val="22"/>
              </w:rPr>
              <w:t> </w:t>
            </w:r>
            <w:r>
              <w:rPr>
                <w:sz w:val="22"/>
              </w:rPr>
              <w:t>facilities</w:t>
            </w:r>
            <w:r>
              <w:rPr>
                <w:spacing w:val="26"/>
                <w:sz w:val="22"/>
              </w:rPr>
              <w:t> </w:t>
            </w:r>
            <w:r>
              <w:rPr>
                <w:sz w:val="22"/>
              </w:rPr>
              <w:t>-</w:t>
            </w:r>
            <w:r>
              <w:rPr>
                <w:spacing w:val="26"/>
                <w:sz w:val="22"/>
              </w:rPr>
              <w:t> </w:t>
            </w:r>
            <w:r>
              <w:rPr>
                <w:sz w:val="22"/>
              </w:rPr>
              <w:t>1,000m2</w:t>
            </w:r>
            <w:r>
              <w:rPr>
                <w:spacing w:val="26"/>
                <w:sz w:val="22"/>
              </w:rPr>
              <w:t> </w:t>
            </w:r>
            <w:r>
              <w:rPr>
                <w:sz w:val="22"/>
              </w:rPr>
              <w:t>Gross</w:t>
            </w:r>
          </w:p>
          <w:p>
            <w:pPr>
              <w:pStyle w:val="TableParagraph"/>
              <w:rPr>
                <w:sz w:val="22"/>
              </w:rPr>
            </w:pPr>
            <w:r>
              <w:rPr>
                <w:sz w:val="22"/>
              </w:rPr>
              <w:t>Floor Area</w:t>
            </w:r>
          </w:p>
          <w:p>
            <w:pPr>
              <w:pStyle w:val="TableParagraph"/>
              <w:numPr>
                <w:ilvl w:val="0"/>
                <w:numId w:val="28"/>
              </w:numPr>
              <w:tabs>
                <w:tab w:pos="439" w:val="left" w:leader="none"/>
                <w:tab w:pos="440" w:val="left" w:leader="none"/>
              </w:tabs>
              <w:spacing w:line="240" w:lineRule="auto" w:before="11" w:after="0"/>
              <w:ind w:left="439" w:right="0" w:hanging="361"/>
              <w:jc w:val="left"/>
              <w:rPr>
                <w:sz w:val="22"/>
              </w:rPr>
            </w:pPr>
            <w:r>
              <w:rPr>
                <w:sz w:val="22"/>
              </w:rPr>
              <w:t>Leisure facilities - 1,000m2 Gross Floor</w:t>
            </w:r>
            <w:r>
              <w:rPr>
                <w:spacing w:val="-18"/>
                <w:sz w:val="22"/>
              </w:rPr>
              <w:t> </w:t>
            </w:r>
            <w:r>
              <w:rPr>
                <w:sz w:val="22"/>
              </w:rPr>
              <w:t>Area</w:t>
            </w:r>
          </w:p>
          <w:p>
            <w:pPr>
              <w:pStyle w:val="TableParagraph"/>
              <w:numPr>
                <w:ilvl w:val="0"/>
                <w:numId w:val="28"/>
              </w:numPr>
              <w:tabs>
                <w:tab w:pos="439" w:val="left" w:leader="none"/>
                <w:tab w:pos="440" w:val="left" w:leader="none"/>
              </w:tabs>
              <w:spacing w:line="240" w:lineRule="auto" w:before="11" w:after="0"/>
              <w:ind w:left="439" w:right="0" w:hanging="361"/>
              <w:jc w:val="left"/>
              <w:rPr>
                <w:sz w:val="22"/>
              </w:rPr>
            </w:pPr>
            <w:r>
              <w:rPr>
                <w:sz w:val="22"/>
              </w:rPr>
              <w:t>Business - 2,500m2 Gross Floor</w:t>
            </w:r>
            <w:r>
              <w:rPr>
                <w:spacing w:val="-14"/>
                <w:sz w:val="22"/>
              </w:rPr>
              <w:t> </w:t>
            </w:r>
            <w:r>
              <w:rPr>
                <w:sz w:val="22"/>
              </w:rPr>
              <w:t>Area</w:t>
            </w:r>
          </w:p>
          <w:p>
            <w:pPr>
              <w:pStyle w:val="TableParagraph"/>
              <w:numPr>
                <w:ilvl w:val="0"/>
                <w:numId w:val="28"/>
              </w:numPr>
              <w:tabs>
                <w:tab w:pos="439" w:val="left" w:leader="none"/>
                <w:tab w:pos="440" w:val="left" w:leader="none"/>
              </w:tabs>
              <w:spacing w:line="240" w:lineRule="auto" w:before="11" w:after="0"/>
              <w:ind w:left="439" w:right="0" w:hanging="361"/>
              <w:jc w:val="left"/>
              <w:rPr>
                <w:sz w:val="22"/>
              </w:rPr>
            </w:pPr>
            <w:r>
              <w:rPr>
                <w:sz w:val="22"/>
              </w:rPr>
              <w:t>Industry - 5,000m2 Gross Floor</w:t>
            </w:r>
            <w:r>
              <w:rPr>
                <w:spacing w:val="-14"/>
                <w:sz w:val="22"/>
              </w:rPr>
              <w:t> </w:t>
            </w:r>
            <w:r>
              <w:rPr>
                <w:sz w:val="22"/>
              </w:rPr>
              <w:t>Area</w:t>
            </w:r>
          </w:p>
          <w:p>
            <w:pPr>
              <w:pStyle w:val="TableParagraph"/>
              <w:numPr>
                <w:ilvl w:val="0"/>
                <w:numId w:val="28"/>
              </w:numPr>
              <w:tabs>
                <w:tab w:pos="439" w:val="left" w:leader="none"/>
                <w:tab w:pos="440" w:val="left" w:leader="none"/>
              </w:tabs>
              <w:spacing w:line="240" w:lineRule="auto" w:before="11" w:after="0"/>
              <w:ind w:left="439" w:right="0" w:hanging="361"/>
              <w:jc w:val="left"/>
              <w:rPr>
                <w:sz w:val="22"/>
              </w:rPr>
            </w:pPr>
            <w:r>
              <w:rPr>
                <w:sz w:val="22"/>
              </w:rPr>
              <w:t>Distribution</w:t>
            </w:r>
            <w:r>
              <w:rPr>
                <w:spacing w:val="-15"/>
                <w:sz w:val="22"/>
              </w:rPr>
              <w:t> </w:t>
            </w:r>
            <w:r>
              <w:rPr>
                <w:sz w:val="22"/>
              </w:rPr>
              <w:t>and</w:t>
            </w:r>
            <w:r>
              <w:rPr>
                <w:spacing w:val="-16"/>
                <w:sz w:val="22"/>
              </w:rPr>
              <w:t> </w:t>
            </w:r>
            <w:r>
              <w:rPr>
                <w:sz w:val="22"/>
              </w:rPr>
              <w:t>warehousing</w:t>
            </w:r>
            <w:r>
              <w:rPr>
                <w:spacing w:val="-16"/>
                <w:sz w:val="22"/>
              </w:rPr>
              <w:t> </w:t>
            </w:r>
            <w:r>
              <w:rPr>
                <w:sz w:val="22"/>
              </w:rPr>
              <w:t>-</w:t>
            </w:r>
            <w:r>
              <w:rPr>
                <w:spacing w:val="-16"/>
                <w:sz w:val="22"/>
              </w:rPr>
              <w:t> </w:t>
            </w:r>
            <w:r>
              <w:rPr>
                <w:sz w:val="22"/>
              </w:rPr>
              <w:t>10,000m2</w:t>
            </w:r>
            <w:r>
              <w:rPr>
                <w:spacing w:val="-16"/>
                <w:sz w:val="22"/>
              </w:rPr>
              <w:t> </w:t>
            </w:r>
            <w:r>
              <w:rPr>
                <w:sz w:val="22"/>
              </w:rPr>
              <w:t>Gross</w:t>
            </w:r>
            <w:r>
              <w:rPr>
                <w:spacing w:val="-15"/>
                <w:sz w:val="22"/>
              </w:rPr>
              <w:t> </w:t>
            </w:r>
            <w:r>
              <w:rPr>
                <w:sz w:val="22"/>
              </w:rPr>
              <w:t>Floor</w:t>
            </w:r>
          </w:p>
          <w:p>
            <w:pPr>
              <w:pStyle w:val="TableParagraph"/>
              <w:rPr>
                <w:sz w:val="22"/>
              </w:rPr>
            </w:pPr>
            <w:r>
              <w:rPr>
                <w:sz w:val="22"/>
              </w:rPr>
              <w:t>Area</w:t>
            </w:r>
          </w:p>
          <w:p>
            <w:pPr>
              <w:pStyle w:val="TableParagraph"/>
              <w:numPr>
                <w:ilvl w:val="0"/>
                <w:numId w:val="28"/>
              </w:numPr>
              <w:tabs>
                <w:tab w:pos="439" w:val="left" w:leader="none"/>
                <w:tab w:pos="440" w:val="left" w:leader="none"/>
              </w:tabs>
              <w:spacing w:line="240" w:lineRule="auto" w:before="11" w:after="0"/>
              <w:ind w:left="439" w:right="0" w:hanging="361"/>
              <w:jc w:val="left"/>
              <w:rPr>
                <w:sz w:val="22"/>
              </w:rPr>
            </w:pPr>
            <w:r>
              <w:rPr>
                <w:sz w:val="22"/>
              </w:rPr>
              <w:t>Hospitals - 2,500m2 Gross Floor</w:t>
            </w:r>
            <w:r>
              <w:rPr>
                <w:spacing w:val="-17"/>
                <w:sz w:val="22"/>
              </w:rPr>
              <w:t> </w:t>
            </w:r>
            <w:r>
              <w:rPr>
                <w:sz w:val="22"/>
              </w:rPr>
              <w:t>Area</w:t>
            </w:r>
          </w:p>
          <w:p>
            <w:pPr>
              <w:pStyle w:val="TableParagraph"/>
              <w:numPr>
                <w:ilvl w:val="0"/>
                <w:numId w:val="28"/>
              </w:numPr>
              <w:tabs>
                <w:tab w:pos="439" w:val="left" w:leader="none"/>
                <w:tab w:pos="440" w:val="left" w:leader="none"/>
              </w:tabs>
              <w:spacing w:line="240" w:lineRule="auto" w:before="11" w:after="0"/>
              <w:ind w:left="439" w:right="0" w:hanging="361"/>
              <w:jc w:val="left"/>
              <w:rPr>
                <w:sz w:val="22"/>
              </w:rPr>
            </w:pPr>
            <w:r>
              <w:rPr>
                <w:sz w:val="22"/>
              </w:rPr>
              <w:t>Higher and further education - 2,500m2 Gross </w:t>
            </w:r>
            <w:r>
              <w:rPr>
                <w:spacing w:val="22"/>
                <w:sz w:val="22"/>
              </w:rPr>
              <w:t> </w:t>
            </w:r>
            <w:r>
              <w:rPr>
                <w:sz w:val="22"/>
              </w:rPr>
              <w:t>Floor</w:t>
            </w:r>
          </w:p>
          <w:p>
            <w:pPr>
              <w:pStyle w:val="TableParagraph"/>
              <w:rPr>
                <w:sz w:val="22"/>
              </w:rPr>
            </w:pPr>
            <w:r>
              <w:rPr>
                <w:sz w:val="22"/>
              </w:rPr>
              <w:t>Area</w:t>
            </w:r>
          </w:p>
          <w:p>
            <w:pPr>
              <w:pStyle w:val="TableParagraph"/>
              <w:numPr>
                <w:ilvl w:val="0"/>
                <w:numId w:val="28"/>
              </w:numPr>
              <w:tabs>
                <w:tab w:pos="439" w:val="left" w:leader="none"/>
                <w:tab w:pos="440" w:val="left" w:leader="none"/>
              </w:tabs>
              <w:spacing w:line="240" w:lineRule="auto" w:before="11" w:after="0"/>
              <w:ind w:left="439" w:right="0" w:hanging="361"/>
              <w:jc w:val="left"/>
              <w:rPr>
                <w:sz w:val="22"/>
              </w:rPr>
            </w:pPr>
            <w:r>
              <w:rPr>
                <w:sz w:val="22"/>
              </w:rPr>
              <w:t>Stadia - 1,500</w:t>
            </w:r>
            <w:r>
              <w:rPr>
                <w:spacing w:val="-2"/>
                <w:sz w:val="22"/>
              </w:rPr>
              <w:t> </w:t>
            </w:r>
            <w:r>
              <w:rPr>
                <w:sz w:val="22"/>
              </w:rPr>
              <w:t>seats</w:t>
            </w:r>
          </w:p>
          <w:p>
            <w:pPr>
              <w:pStyle w:val="TableParagraph"/>
              <w:numPr>
                <w:ilvl w:val="0"/>
                <w:numId w:val="28"/>
              </w:numPr>
              <w:tabs>
                <w:tab w:pos="439" w:val="left" w:leader="none"/>
                <w:tab w:pos="440" w:val="left" w:leader="none"/>
              </w:tabs>
              <w:spacing w:line="240" w:lineRule="auto" w:before="11" w:after="0"/>
              <w:ind w:left="439" w:right="0" w:hanging="361"/>
              <w:jc w:val="left"/>
              <w:rPr>
                <w:sz w:val="22"/>
              </w:rPr>
            </w:pPr>
            <w:r>
              <w:rPr>
                <w:sz w:val="22"/>
              </w:rPr>
              <w:t>Housing - 100</w:t>
            </w:r>
            <w:r>
              <w:rPr>
                <w:spacing w:val="-3"/>
                <w:sz w:val="22"/>
              </w:rPr>
              <w:t> </w:t>
            </w:r>
            <w:r>
              <w:rPr>
                <w:sz w:val="22"/>
              </w:rPr>
              <w:t>dwellings</w:t>
            </w:r>
          </w:p>
        </w:tc>
        <w:tc>
          <w:tcPr>
            <w:tcW w:w="1045" w:type="dxa"/>
          </w:tcPr>
          <w:p>
            <w:pPr>
              <w:pStyle w:val="TableParagraph"/>
              <w:spacing w:before="0"/>
              <w:ind w:left="0"/>
              <w:rPr>
                <w:rFonts w:ascii="Times New Roman"/>
                <w:sz w:val="22"/>
              </w:rPr>
            </w:pPr>
          </w:p>
        </w:tc>
      </w:tr>
      <w:tr>
        <w:trPr>
          <w:trHeight w:val="828" w:hRule="atLeast"/>
        </w:trPr>
        <w:tc>
          <w:tcPr>
            <w:tcW w:w="2893" w:type="dxa"/>
            <w:shd w:val="clear" w:color="auto" w:fill="E2DDD9"/>
          </w:tcPr>
          <w:p>
            <w:pPr>
              <w:pStyle w:val="TableParagraph"/>
              <w:spacing w:before="19"/>
              <w:ind w:left="80"/>
              <w:rPr>
                <w:sz w:val="22"/>
              </w:rPr>
            </w:pPr>
            <w:r>
              <w:rPr>
                <w:sz w:val="22"/>
              </w:rPr>
              <w:t>25. Travel Plan</w:t>
            </w:r>
          </w:p>
        </w:tc>
        <w:tc>
          <w:tcPr>
            <w:tcW w:w="5681" w:type="dxa"/>
          </w:tcPr>
          <w:p>
            <w:pPr>
              <w:pStyle w:val="TableParagraph"/>
              <w:spacing w:line="249" w:lineRule="auto" w:before="19"/>
              <w:ind w:left="79"/>
              <w:rPr>
                <w:sz w:val="22"/>
              </w:rPr>
            </w:pPr>
            <w:r>
              <w:rPr>
                <w:sz w:val="22"/>
              </w:rPr>
              <w:t>The need for a Travel Plan will be informed by the completed Transport Assessment.</w:t>
            </w:r>
          </w:p>
        </w:tc>
        <w:tc>
          <w:tcPr>
            <w:tcW w:w="1045" w:type="dxa"/>
          </w:tcPr>
          <w:p>
            <w:pPr>
              <w:pStyle w:val="TableParagraph"/>
              <w:spacing w:before="0"/>
              <w:ind w:left="0"/>
              <w:rPr>
                <w:rFonts w:ascii="Times New Roman"/>
                <w:sz w:val="22"/>
              </w:rPr>
            </w:pPr>
          </w:p>
        </w:tc>
      </w:tr>
    </w:tbl>
    <w:p>
      <w:pPr>
        <w:spacing w:after="0"/>
        <w:rPr>
          <w:rFonts w:ascii="Times New Roman"/>
          <w:sz w:val="22"/>
        </w:rPr>
        <w:sectPr>
          <w:pgSz w:w="11910" w:h="16840"/>
          <w:pgMar w:header="0" w:footer="668" w:top="1120" w:bottom="860" w:left="1020" w:right="1020"/>
        </w:sectPr>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93"/>
        <w:gridCol w:w="5681"/>
        <w:gridCol w:w="1045"/>
      </w:tblGrid>
      <w:tr>
        <w:trPr>
          <w:trHeight w:val="602" w:hRule="atLeast"/>
        </w:trPr>
        <w:tc>
          <w:tcPr>
            <w:tcW w:w="2893" w:type="dxa"/>
            <w:shd w:val="clear" w:color="auto" w:fill="EE3124"/>
          </w:tcPr>
          <w:p>
            <w:pPr>
              <w:pStyle w:val="TableParagraph"/>
              <w:spacing w:line="290" w:lineRule="atLeast" w:before="1"/>
              <w:ind w:left="80" w:right="79"/>
              <w:rPr>
                <w:b/>
                <w:sz w:val="24"/>
              </w:rPr>
            </w:pPr>
            <w:r>
              <w:rPr>
                <w:b/>
                <w:color w:val="FFFFFF"/>
                <w:sz w:val="24"/>
              </w:rPr>
              <w:t>Application Information Required</w:t>
            </w:r>
          </w:p>
        </w:tc>
        <w:tc>
          <w:tcPr>
            <w:tcW w:w="5681" w:type="dxa"/>
            <w:shd w:val="clear" w:color="auto" w:fill="EE3124"/>
          </w:tcPr>
          <w:p>
            <w:pPr>
              <w:pStyle w:val="TableParagraph"/>
              <w:spacing w:before="15"/>
              <w:ind w:left="79"/>
              <w:rPr>
                <w:b/>
                <w:sz w:val="24"/>
              </w:rPr>
            </w:pPr>
            <w:r>
              <w:rPr>
                <w:b/>
                <w:color w:val="FFFFFF"/>
                <w:sz w:val="24"/>
              </w:rPr>
              <w:t>Type of Application</w:t>
            </w:r>
          </w:p>
        </w:tc>
        <w:tc>
          <w:tcPr>
            <w:tcW w:w="1045" w:type="dxa"/>
            <w:shd w:val="clear" w:color="auto" w:fill="EE3124"/>
          </w:tcPr>
          <w:p>
            <w:pPr>
              <w:pStyle w:val="TableParagraph"/>
              <w:spacing w:before="15"/>
              <w:ind w:left="79"/>
              <w:rPr>
                <w:b/>
                <w:sz w:val="24"/>
              </w:rPr>
            </w:pPr>
            <w:r>
              <w:rPr>
                <w:b/>
                <w:color w:val="FFFFFF"/>
                <w:sz w:val="24"/>
              </w:rPr>
              <w:t>Y or N</w:t>
            </w:r>
          </w:p>
          <w:p>
            <w:pPr>
              <w:pStyle w:val="TableParagraph"/>
              <w:spacing w:before="12"/>
              <w:ind w:left="79"/>
              <w:rPr>
                <w:b/>
                <w:sz w:val="24"/>
              </w:rPr>
            </w:pPr>
            <w:r>
              <w:rPr>
                <w:b/>
                <w:color w:val="FFFFFF"/>
                <w:sz w:val="24"/>
              </w:rPr>
              <w:t>confirm</w:t>
            </w:r>
          </w:p>
        </w:tc>
      </w:tr>
      <w:tr>
        <w:trPr>
          <w:trHeight w:val="1356" w:hRule="atLeast"/>
        </w:trPr>
        <w:tc>
          <w:tcPr>
            <w:tcW w:w="2893" w:type="dxa"/>
            <w:shd w:val="clear" w:color="auto" w:fill="E2DDD9"/>
          </w:tcPr>
          <w:p>
            <w:pPr>
              <w:pStyle w:val="TableParagraph"/>
              <w:spacing w:before="20"/>
              <w:ind w:left="80"/>
              <w:rPr>
                <w:sz w:val="22"/>
              </w:rPr>
            </w:pPr>
            <w:r>
              <w:rPr>
                <w:sz w:val="22"/>
              </w:rPr>
              <w:t>26. Tree Survey</w:t>
            </w:r>
          </w:p>
        </w:tc>
        <w:tc>
          <w:tcPr>
            <w:tcW w:w="5681" w:type="dxa"/>
          </w:tcPr>
          <w:p>
            <w:pPr>
              <w:pStyle w:val="TableParagraph"/>
              <w:spacing w:before="20"/>
              <w:ind w:left="79"/>
              <w:rPr>
                <w:sz w:val="22"/>
              </w:rPr>
            </w:pPr>
            <w:r>
              <w:rPr>
                <w:sz w:val="22"/>
              </w:rPr>
              <w:t>For all proposals that:</w:t>
            </w:r>
          </w:p>
          <w:p>
            <w:pPr>
              <w:pStyle w:val="TableParagraph"/>
              <w:numPr>
                <w:ilvl w:val="0"/>
                <w:numId w:val="29"/>
              </w:numPr>
              <w:tabs>
                <w:tab w:pos="439" w:val="left" w:leader="none"/>
                <w:tab w:pos="440" w:val="left" w:leader="none"/>
              </w:tabs>
              <w:spacing w:line="249" w:lineRule="auto" w:before="11" w:after="0"/>
              <w:ind w:left="439" w:right="743" w:hanging="360"/>
              <w:jc w:val="left"/>
              <w:rPr>
                <w:sz w:val="22"/>
              </w:rPr>
            </w:pPr>
            <w:r>
              <w:rPr>
                <w:sz w:val="22"/>
              </w:rPr>
              <w:t>Will impact on those trees protected by a </w:t>
            </w:r>
            <w:r>
              <w:rPr>
                <w:spacing w:val="-3"/>
                <w:sz w:val="22"/>
              </w:rPr>
              <w:t>Tree </w:t>
            </w:r>
            <w:r>
              <w:rPr>
                <w:sz w:val="22"/>
              </w:rPr>
              <w:t>Preservation</w:t>
            </w:r>
            <w:r>
              <w:rPr>
                <w:spacing w:val="-1"/>
                <w:sz w:val="22"/>
              </w:rPr>
              <w:t> </w:t>
            </w:r>
            <w:r>
              <w:rPr>
                <w:sz w:val="22"/>
              </w:rPr>
              <w:t>Order.</w:t>
            </w:r>
          </w:p>
          <w:p>
            <w:pPr>
              <w:pStyle w:val="TableParagraph"/>
              <w:numPr>
                <w:ilvl w:val="0"/>
                <w:numId w:val="29"/>
              </w:numPr>
              <w:tabs>
                <w:tab w:pos="439" w:val="left" w:leader="none"/>
                <w:tab w:pos="440" w:val="left" w:leader="none"/>
              </w:tabs>
              <w:spacing w:line="240" w:lineRule="auto" w:before="1" w:after="0"/>
              <w:ind w:left="439" w:right="0" w:hanging="361"/>
              <w:jc w:val="left"/>
              <w:rPr>
                <w:sz w:val="22"/>
              </w:rPr>
            </w:pPr>
            <w:r>
              <w:rPr>
                <w:sz w:val="22"/>
              </w:rPr>
              <w:t>Will impact on trees in a Conservation</w:t>
            </w:r>
            <w:r>
              <w:rPr>
                <w:spacing w:val="-22"/>
                <w:sz w:val="22"/>
              </w:rPr>
              <w:t> </w:t>
            </w:r>
            <w:r>
              <w:rPr>
                <w:sz w:val="22"/>
              </w:rPr>
              <w:t>Area.</w:t>
            </w:r>
          </w:p>
        </w:tc>
        <w:tc>
          <w:tcPr>
            <w:tcW w:w="1045" w:type="dxa"/>
          </w:tcPr>
          <w:p>
            <w:pPr>
              <w:pStyle w:val="TableParagraph"/>
              <w:spacing w:before="0"/>
              <w:ind w:left="0"/>
              <w:rPr>
                <w:rFonts w:ascii="Times New Roman"/>
                <w:sz w:val="22"/>
              </w:rPr>
            </w:pPr>
          </w:p>
        </w:tc>
      </w:tr>
      <w:tr>
        <w:trPr>
          <w:trHeight w:val="1356" w:hRule="atLeast"/>
        </w:trPr>
        <w:tc>
          <w:tcPr>
            <w:tcW w:w="2893" w:type="dxa"/>
            <w:shd w:val="clear" w:color="auto" w:fill="E2DDD9"/>
          </w:tcPr>
          <w:p>
            <w:pPr>
              <w:pStyle w:val="TableParagraph"/>
              <w:spacing w:line="249" w:lineRule="auto" w:before="20"/>
              <w:ind w:left="80" w:right="79"/>
              <w:rPr>
                <w:sz w:val="22"/>
              </w:rPr>
            </w:pPr>
            <w:r>
              <w:rPr>
                <w:sz w:val="22"/>
              </w:rPr>
              <w:t>27. Waste Management Plan</w:t>
            </w:r>
          </w:p>
        </w:tc>
        <w:tc>
          <w:tcPr>
            <w:tcW w:w="5681" w:type="dxa"/>
          </w:tcPr>
          <w:p>
            <w:pPr>
              <w:pStyle w:val="TableParagraph"/>
              <w:spacing w:before="20"/>
              <w:ind w:left="79"/>
              <w:rPr>
                <w:sz w:val="22"/>
              </w:rPr>
            </w:pPr>
            <w:r>
              <w:rPr>
                <w:sz w:val="22"/>
              </w:rPr>
              <w:t>For the following proposals:</w:t>
            </w:r>
          </w:p>
          <w:p>
            <w:pPr>
              <w:pStyle w:val="TableParagraph"/>
              <w:numPr>
                <w:ilvl w:val="0"/>
                <w:numId w:val="30"/>
              </w:numPr>
              <w:tabs>
                <w:tab w:pos="439" w:val="left" w:leader="none"/>
                <w:tab w:pos="440" w:val="left" w:leader="none"/>
              </w:tabs>
              <w:spacing w:line="249" w:lineRule="auto" w:before="11" w:after="0"/>
              <w:ind w:left="439" w:right="378" w:hanging="360"/>
              <w:jc w:val="left"/>
              <w:rPr>
                <w:sz w:val="22"/>
              </w:rPr>
            </w:pPr>
            <w:r>
              <w:rPr>
                <w:sz w:val="22"/>
              </w:rPr>
              <w:t>New residential development for which</w:t>
            </w:r>
            <w:r>
              <w:rPr>
                <w:spacing w:val="-18"/>
                <w:sz w:val="22"/>
              </w:rPr>
              <w:t> </w:t>
            </w:r>
            <w:r>
              <w:rPr>
                <w:sz w:val="22"/>
              </w:rPr>
              <w:t>communal waste storage is</w:t>
            </w:r>
            <w:r>
              <w:rPr>
                <w:spacing w:val="-4"/>
                <w:sz w:val="22"/>
              </w:rPr>
              <w:t> </w:t>
            </w:r>
            <w:r>
              <w:rPr>
                <w:sz w:val="22"/>
              </w:rPr>
              <w:t>proposed.</w:t>
            </w:r>
          </w:p>
          <w:p>
            <w:pPr>
              <w:pStyle w:val="TableParagraph"/>
              <w:numPr>
                <w:ilvl w:val="0"/>
                <w:numId w:val="30"/>
              </w:numPr>
              <w:tabs>
                <w:tab w:pos="439" w:val="left" w:leader="none"/>
                <w:tab w:pos="440" w:val="left" w:leader="none"/>
              </w:tabs>
              <w:spacing w:line="240" w:lineRule="auto" w:before="1" w:after="0"/>
              <w:ind w:left="439" w:right="0" w:hanging="361"/>
              <w:jc w:val="left"/>
              <w:rPr>
                <w:sz w:val="22"/>
              </w:rPr>
            </w:pPr>
            <w:r>
              <w:rPr>
                <w:sz w:val="22"/>
              </w:rPr>
              <w:t>All mineral developments, including extensions</w:t>
            </w:r>
            <w:r>
              <w:rPr>
                <w:spacing w:val="-15"/>
                <w:sz w:val="22"/>
              </w:rPr>
              <w:t> </w:t>
            </w:r>
            <w:r>
              <w:rPr>
                <w:sz w:val="22"/>
              </w:rPr>
              <w:t>to</w:t>
            </w:r>
          </w:p>
          <w:p>
            <w:pPr>
              <w:pStyle w:val="TableParagraph"/>
              <w:rPr>
                <w:sz w:val="22"/>
              </w:rPr>
            </w:pPr>
            <w:r>
              <w:rPr>
                <w:sz w:val="22"/>
              </w:rPr>
              <w:t>existing quarries.</w:t>
            </w:r>
          </w:p>
        </w:tc>
        <w:tc>
          <w:tcPr>
            <w:tcW w:w="1045" w:type="dxa"/>
          </w:tcPr>
          <w:p>
            <w:pPr>
              <w:pStyle w:val="TableParagraph"/>
              <w:spacing w:before="0"/>
              <w:ind w:left="0"/>
              <w:rPr>
                <w:rFonts w:ascii="Times New Roman"/>
                <w:sz w:val="22"/>
              </w:rPr>
            </w:pPr>
          </w:p>
        </w:tc>
      </w:tr>
    </w:tbl>
    <w:sectPr>
      <w:pgSz w:w="11910" w:h="16840"/>
      <w:pgMar w:header="0" w:footer="668" w:top="1120" w:bottom="860" w:left="102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Bommer Slab SemiBold">
    <w:altName w:val="Bommer Slab SemiBold"/>
    <w:charset w:val="0"/>
    <w:family w:val="modern"/>
    <w:pitch w:val="variable"/>
  </w:font>
  <w:font w:name="Bommer Slab">
    <w:altName w:val="Bommer Slab"/>
    <w:charset w:val="0"/>
    <w:family w:val="moder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13.780029pt;margin-top:788.032043pt;width:25.512pt;height:25.512pt;mso-position-horizontal-relative:page;mso-position-vertical-relative:page;z-index:-252560384" filled="true" fillcolor="#ee3525" stroked="false">
          <v:fill type="solid"/>
          <w10:wrap type="none"/>
        </v:rect>
      </w:pict>
    </w:r>
    <w:r>
      <w:rPr/>
      <w:pict>
        <v:shape style="position:absolute;margin-left:520.595825pt;margin-top:793.501526pt;width:16.95pt;height:15.3pt;mso-position-horizontal-relative:page;mso-position-vertical-relative:page;z-index:-252559360" type="#_x0000_t202" filled="false" stroked="false">
          <v:textbox inset="0,0,0,0">
            <w:txbxContent>
              <w:p>
                <w:pPr>
                  <w:spacing w:before="42"/>
                  <w:ind w:left="61" w:right="0" w:firstLine="0"/>
                  <w:jc w:val="left"/>
                  <w:rPr>
                    <w:rFonts w:ascii="Bommer Slab SemiBold"/>
                    <w:b/>
                    <w:sz w:val="18"/>
                  </w:rPr>
                </w:pPr>
                <w:r>
                  <w:rPr/>
                  <w:fldChar w:fldCharType="begin"/>
                </w:r>
                <w:r>
                  <w:rPr>
                    <w:rFonts w:ascii="Bommer Slab SemiBold"/>
                    <w:b/>
                    <w:color w:val="FFFFFF"/>
                    <w:sz w:val="18"/>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
    <w:multiLevelType w:val="hybridMultilevel"/>
    <w:lvl w:ilvl="0">
      <w:start w:val="0"/>
      <w:numFmt w:val="bullet"/>
      <w:lvlText w:val="•"/>
      <w:lvlJc w:val="left"/>
      <w:pPr>
        <w:ind w:left="439"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962" w:hanging="360"/>
      </w:pPr>
      <w:rPr>
        <w:rFonts w:hint="default"/>
        <w:lang w:val="en-gb" w:eastAsia="en-gb" w:bidi="en-gb"/>
      </w:rPr>
    </w:lvl>
    <w:lvl w:ilvl="2">
      <w:start w:val="0"/>
      <w:numFmt w:val="bullet"/>
      <w:lvlText w:val="•"/>
      <w:lvlJc w:val="left"/>
      <w:pPr>
        <w:ind w:left="1484" w:hanging="360"/>
      </w:pPr>
      <w:rPr>
        <w:rFonts w:hint="default"/>
        <w:lang w:val="en-gb" w:eastAsia="en-gb" w:bidi="en-gb"/>
      </w:rPr>
    </w:lvl>
    <w:lvl w:ilvl="3">
      <w:start w:val="0"/>
      <w:numFmt w:val="bullet"/>
      <w:lvlText w:val="•"/>
      <w:lvlJc w:val="left"/>
      <w:pPr>
        <w:ind w:left="2006" w:hanging="360"/>
      </w:pPr>
      <w:rPr>
        <w:rFonts w:hint="default"/>
        <w:lang w:val="en-gb" w:eastAsia="en-gb" w:bidi="en-gb"/>
      </w:rPr>
    </w:lvl>
    <w:lvl w:ilvl="4">
      <w:start w:val="0"/>
      <w:numFmt w:val="bullet"/>
      <w:lvlText w:val="•"/>
      <w:lvlJc w:val="left"/>
      <w:pPr>
        <w:ind w:left="2528" w:hanging="360"/>
      </w:pPr>
      <w:rPr>
        <w:rFonts w:hint="default"/>
        <w:lang w:val="en-gb" w:eastAsia="en-gb" w:bidi="en-gb"/>
      </w:rPr>
    </w:lvl>
    <w:lvl w:ilvl="5">
      <w:start w:val="0"/>
      <w:numFmt w:val="bullet"/>
      <w:lvlText w:val="•"/>
      <w:lvlJc w:val="left"/>
      <w:pPr>
        <w:ind w:left="3050" w:hanging="360"/>
      </w:pPr>
      <w:rPr>
        <w:rFonts w:hint="default"/>
        <w:lang w:val="en-gb" w:eastAsia="en-gb" w:bidi="en-gb"/>
      </w:rPr>
    </w:lvl>
    <w:lvl w:ilvl="6">
      <w:start w:val="0"/>
      <w:numFmt w:val="bullet"/>
      <w:lvlText w:val="•"/>
      <w:lvlJc w:val="left"/>
      <w:pPr>
        <w:ind w:left="3572" w:hanging="360"/>
      </w:pPr>
      <w:rPr>
        <w:rFonts w:hint="default"/>
        <w:lang w:val="en-gb" w:eastAsia="en-gb" w:bidi="en-gb"/>
      </w:rPr>
    </w:lvl>
    <w:lvl w:ilvl="7">
      <w:start w:val="0"/>
      <w:numFmt w:val="bullet"/>
      <w:lvlText w:val="•"/>
      <w:lvlJc w:val="left"/>
      <w:pPr>
        <w:ind w:left="4094" w:hanging="360"/>
      </w:pPr>
      <w:rPr>
        <w:rFonts w:hint="default"/>
        <w:lang w:val="en-gb" w:eastAsia="en-gb" w:bidi="en-gb"/>
      </w:rPr>
    </w:lvl>
    <w:lvl w:ilvl="8">
      <w:start w:val="0"/>
      <w:numFmt w:val="bullet"/>
      <w:lvlText w:val="•"/>
      <w:lvlJc w:val="left"/>
      <w:pPr>
        <w:ind w:left="4616" w:hanging="360"/>
      </w:pPr>
      <w:rPr>
        <w:rFonts w:hint="default"/>
        <w:lang w:val="en-gb" w:eastAsia="en-gb" w:bidi="en-gb"/>
      </w:rPr>
    </w:lvl>
  </w:abstractNum>
  <w:abstractNum w:abstractNumId="28">
    <w:multiLevelType w:val="hybridMultilevel"/>
    <w:lvl w:ilvl="0">
      <w:start w:val="0"/>
      <w:numFmt w:val="bullet"/>
      <w:lvlText w:val="•"/>
      <w:lvlJc w:val="left"/>
      <w:pPr>
        <w:ind w:left="439" w:hanging="360"/>
      </w:pPr>
      <w:rPr>
        <w:rFonts w:hint="default" w:ascii="Arial" w:hAnsi="Arial" w:eastAsia="Arial" w:cs="Arial"/>
        <w:spacing w:val="-12"/>
        <w:w w:val="100"/>
        <w:sz w:val="22"/>
        <w:szCs w:val="22"/>
        <w:lang w:val="en-gb" w:eastAsia="en-gb" w:bidi="en-gb"/>
      </w:rPr>
    </w:lvl>
    <w:lvl w:ilvl="1">
      <w:start w:val="0"/>
      <w:numFmt w:val="bullet"/>
      <w:lvlText w:val="•"/>
      <w:lvlJc w:val="left"/>
      <w:pPr>
        <w:ind w:left="962" w:hanging="360"/>
      </w:pPr>
      <w:rPr>
        <w:rFonts w:hint="default"/>
        <w:lang w:val="en-gb" w:eastAsia="en-gb" w:bidi="en-gb"/>
      </w:rPr>
    </w:lvl>
    <w:lvl w:ilvl="2">
      <w:start w:val="0"/>
      <w:numFmt w:val="bullet"/>
      <w:lvlText w:val="•"/>
      <w:lvlJc w:val="left"/>
      <w:pPr>
        <w:ind w:left="1484" w:hanging="360"/>
      </w:pPr>
      <w:rPr>
        <w:rFonts w:hint="default"/>
        <w:lang w:val="en-gb" w:eastAsia="en-gb" w:bidi="en-gb"/>
      </w:rPr>
    </w:lvl>
    <w:lvl w:ilvl="3">
      <w:start w:val="0"/>
      <w:numFmt w:val="bullet"/>
      <w:lvlText w:val="•"/>
      <w:lvlJc w:val="left"/>
      <w:pPr>
        <w:ind w:left="2006" w:hanging="360"/>
      </w:pPr>
      <w:rPr>
        <w:rFonts w:hint="default"/>
        <w:lang w:val="en-gb" w:eastAsia="en-gb" w:bidi="en-gb"/>
      </w:rPr>
    </w:lvl>
    <w:lvl w:ilvl="4">
      <w:start w:val="0"/>
      <w:numFmt w:val="bullet"/>
      <w:lvlText w:val="•"/>
      <w:lvlJc w:val="left"/>
      <w:pPr>
        <w:ind w:left="2528" w:hanging="360"/>
      </w:pPr>
      <w:rPr>
        <w:rFonts w:hint="default"/>
        <w:lang w:val="en-gb" w:eastAsia="en-gb" w:bidi="en-gb"/>
      </w:rPr>
    </w:lvl>
    <w:lvl w:ilvl="5">
      <w:start w:val="0"/>
      <w:numFmt w:val="bullet"/>
      <w:lvlText w:val="•"/>
      <w:lvlJc w:val="left"/>
      <w:pPr>
        <w:ind w:left="3050" w:hanging="360"/>
      </w:pPr>
      <w:rPr>
        <w:rFonts w:hint="default"/>
        <w:lang w:val="en-gb" w:eastAsia="en-gb" w:bidi="en-gb"/>
      </w:rPr>
    </w:lvl>
    <w:lvl w:ilvl="6">
      <w:start w:val="0"/>
      <w:numFmt w:val="bullet"/>
      <w:lvlText w:val="•"/>
      <w:lvlJc w:val="left"/>
      <w:pPr>
        <w:ind w:left="3572" w:hanging="360"/>
      </w:pPr>
      <w:rPr>
        <w:rFonts w:hint="default"/>
        <w:lang w:val="en-gb" w:eastAsia="en-gb" w:bidi="en-gb"/>
      </w:rPr>
    </w:lvl>
    <w:lvl w:ilvl="7">
      <w:start w:val="0"/>
      <w:numFmt w:val="bullet"/>
      <w:lvlText w:val="•"/>
      <w:lvlJc w:val="left"/>
      <w:pPr>
        <w:ind w:left="4094" w:hanging="360"/>
      </w:pPr>
      <w:rPr>
        <w:rFonts w:hint="default"/>
        <w:lang w:val="en-gb" w:eastAsia="en-gb" w:bidi="en-gb"/>
      </w:rPr>
    </w:lvl>
    <w:lvl w:ilvl="8">
      <w:start w:val="0"/>
      <w:numFmt w:val="bullet"/>
      <w:lvlText w:val="•"/>
      <w:lvlJc w:val="left"/>
      <w:pPr>
        <w:ind w:left="4616" w:hanging="360"/>
      </w:pPr>
      <w:rPr>
        <w:rFonts w:hint="default"/>
        <w:lang w:val="en-gb" w:eastAsia="en-gb" w:bidi="en-gb"/>
      </w:rPr>
    </w:lvl>
  </w:abstractNum>
  <w:abstractNum w:abstractNumId="27">
    <w:multiLevelType w:val="hybridMultilevel"/>
    <w:lvl w:ilvl="0">
      <w:start w:val="0"/>
      <w:numFmt w:val="bullet"/>
      <w:lvlText w:val="•"/>
      <w:lvlJc w:val="left"/>
      <w:pPr>
        <w:ind w:left="439" w:hanging="360"/>
      </w:pPr>
      <w:rPr>
        <w:rFonts w:hint="default" w:ascii="Arial" w:hAnsi="Arial" w:eastAsia="Arial" w:cs="Arial"/>
        <w:spacing w:val="-12"/>
        <w:w w:val="100"/>
        <w:sz w:val="22"/>
        <w:szCs w:val="22"/>
        <w:lang w:val="en-gb" w:eastAsia="en-gb" w:bidi="en-gb"/>
      </w:rPr>
    </w:lvl>
    <w:lvl w:ilvl="1">
      <w:start w:val="0"/>
      <w:numFmt w:val="bullet"/>
      <w:lvlText w:val="•"/>
      <w:lvlJc w:val="left"/>
      <w:pPr>
        <w:ind w:left="962" w:hanging="360"/>
      </w:pPr>
      <w:rPr>
        <w:rFonts w:hint="default"/>
        <w:lang w:val="en-gb" w:eastAsia="en-gb" w:bidi="en-gb"/>
      </w:rPr>
    </w:lvl>
    <w:lvl w:ilvl="2">
      <w:start w:val="0"/>
      <w:numFmt w:val="bullet"/>
      <w:lvlText w:val="•"/>
      <w:lvlJc w:val="left"/>
      <w:pPr>
        <w:ind w:left="1484" w:hanging="360"/>
      </w:pPr>
      <w:rPr>
        <w:rFonts w:hint="default"/>
        <w:lang w:val="en-gb" w:eastAsia="en-gb" w:bidi="en-gb"/>
      </w:rPr>
    </w:lvl>
    <w:lvl w:ilvl="3">
      <w:start w:val="0"/>
      <w:numFmt w:val="bullet"/>
      <w:lvlText w:val="•"/>
      <w:lvlJc w:val="left"/>
      <w:pPr>
        <w:ind w:left="2006" w:hanging="360"/>
      </w:pPr>
      <w:rPr>
        <w:rFonts w:hint="default"/>
        <w:lang w:val="en-gb" w:eastAsia="en-gb" w:bidi="en-gb"/>
      </w:rPr>
    </w:lvl>
    <w:lvl w:ilvl="4">
      <w:start w:val="0"/>
      <w:numFmt w:val="bullet"/>
      <w:lvlText w:val="•"/>
      <w:lvlJc w:val="left"/>
      <w:pPr>
        <w:ind w:left="2528" w:hanging="360"/>
      </w:pPr>
      <w:rPr>
        <w:rFonts w:hint="default"/>
        <w:lang w:val="en-gb" w:eastAsia="en-gb" w:bidi="en-gb"/>
      </w:rPr>
    </w:lvl>
    <w:lvl w:ilvl="5">
      <w:start w:val="0"/>
      <w:numFmt w:val="bullet"/>
      <w:lvlText w:val="•"/>
      <w:lvlJc w:val="left"/>
      <w:pPr>
        <w:ind w:left="3050" w:hanging="360"/>
      </w:pPr>
      <w:rPr>
        <w:rFonts w:hint="default"/>
        <w:lang w:val="en-gb" w:eastAsia="en-gb" w:bidi="en-gb"/>
      </w:rPr>
    </w:lvl>
    <w:lvl w:ilvl="6">
      <w:start w:val="0"/>
      <w:numFmt w:val="bullet"/>
      <w:lvlText w:val="•"/>
      <w:lvlJc w:val="left"/>
      <w:pPr>
        <w:ind w:left="3572" w:hanging="360"/>
      </w:pPr>
      <w:rPr>
        <w:rFonts w:hint="default"/>
        <w:lang w:val="en-gb" w:eastAsia="en-gb" w:bidi="en-gb"/>
      </w:rPr>
    </w:lvl>
    <w:lvl w:ilvl="7">
      <w:start w:val="0"/>
      <w:numFmt w:val="bullet"/>
      <w:lvlText w:val="•"/>
      <w:lvlJc w:val="left"/>
      <w:pPr>
        <w:ind w:left="4094" w:hanging="360"/>
      </w:pPr>
      <w:rPr>
        <w:rFonts w:hint="default"/>
        <w:lang w:val="en-gb" w:eastAsia="en-gb" w:bidi="en-gb"/>
      </w:rPr>
    </w:lvl>
    <w:lvl w:ilvl="8">
      <w:start w:val="0"/>
      <w:numFmt w:val="bullet"/>
      <w:lvlText w:val="•"/>
      <w:lvlJc w:val="left"/>
      <w:pPr>
        <w:ind w:left="4616" w:hanging="360"/>
      </w:pPr>
      <w:rPr>
        <w:rFonts w:hint="default"/>
        <w:lang w:val="en-gb" w:eastAsia="en-gb" w:bidi="en-gb"/>
      </w:rPr>
    </w:lvl>
  </w:abstractNum>
  <w:abstractNum w:abstractNumId="26">
    <w:multiLevelType w:val="hybridMultilevel"/>
    <w:lvl w:ilvl="0">
      <w:start w:val="0"/>
      <w:numFmt w:val="bullet"/>
      <w:lvlText w:val="•"/>
      <w:lvlJc w:val="left"/>
      <w:pPr>
        <w:ind w:left="439"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962" w:hanging="360"/>
      </w:pPr>
      <w:rPr>
        <w:rFonts w:hint="default"/>
        <w:lang w:val="en-gb" w:eastAsia="en-gb" w:bidi="en-gb"/>
      </w:rPr>
    </w:lvl>
    <w:lvl w:ilvl="2">
      <w:start w:val="0"/>
      <w:numFmt w:val="bullet"/>
      <w:lvlText w:val="•"/>
      <w:lvlJc w:val="left"/>
      <w:pPr>
        <w:ind w:left="1484" w:hanging="360"/>
      </w:pPr>
      <w:rPr>
        <w:rFonts w:hint="default"/>
        <w:lang w:val="en-gb" w:eastAsia="en-gb" w:bidi="en-gb"/>
      </w:rPr>
    </w:lvl>
    <w:lvl w:ilvl="3">
      <w:start w:val="0"/>
      <w:numFmt w:val="bullet"/>
      <w:lvlText w:val="•"/>
      <w:lvlJc w:val="left"/>
      <w:pPr>
        <w:ind w:left="2006" w:hanging="360"/>
      </w:pPr>
      <w:rPr>
        <w:rFonts w:hint="default"/>
        <w:lang w:val="en-gb" w:eastAsia="en-gb" w:bidi="en-gb"/>
      </w:rPr>
    </w:lvl>
    <w:lvl w:ilvl="4">
      <w:start w:val="0"/>
      <w:numFmt w:val="bullet"/>
      <w:lvlText w:val="•"/>
      <w:lvlJc w:val="left"/>
      <w:pPr>
        <w:ind w:left="2528" w:hanging="360"/>
      </w:pPr>
      <w:rPr>
        <w:rFonts w:hint="default"/>
        <w:lang w:val="en-gb" w:eastAsia="en-gb" w:bidi="en-gb"/>
      </w:rPr>
    </w:lvl>
    <w:lvl w:ilvl="5">
      <w:start w:val="0"/>
      <w:numFmt w:val="bullet"/>
      <w:lvlText w:val="•"/>
      <w:lvlJc w:val="left"/>
      <w:pPr>
        <w:ind w:left="3050" w:hanging="360"/>
      </w:pPr>
      <w:rPr>
        <w:rFonts w:hint="default"/>
        <w:lang w:val="en-gb" w:eastAsia="en-gb" w:bidi="en-gb"/>
      </w:rPr>
    </w:lvl>
    <w:lvl w:ilvl="6">
      <w:start w:val="0"/>
      <w:numFmt w:val="bullet"/>
      <w:lvlText w:val="•"/>
      <w:lvlJc w:val="left"/>
      <w:pPr>
        <w:ind w:left="3572" w:hanging="360"/>
      </w:pPr>
      <w:rPr>
        <w:rFonts w:hint="default"/>
        <w:lang w:val="en-gb" w:eastAsia="en-gb" w:bidi="en-gb"/>
      </w:rPr>
    </w:lvl>
    <w:lvl w:ilvl="7">
      <w:start w:val="0"/>
      <w:numFmt w:val="bullet"/>
      <w:lvlText w:val="•"/>
      <w:lvlJc w:val="left"/>
      <w:pPr>
        <w:ind w:left="4094" w:hanging="360"/>
      </w:pPr>
      <w:rPr>
        <w:rFonts w:hint="default"/>
        <w:lang w:val="en-gb" w:eastAsia="en-gb" w:bidi="en-gb"/>
      </w:rPr>
    </w:lvl>
    <w:lvl w:ilvl="8">
      <w:start w:val="0"/>
      <w:numFmt w:val="bullet"/>
      <w:lvlText w:val="•"/>
      <w:lvlJc w:val="left"/>
      <w:pPr>
        <w:ind w:left="4616" w:hanging="360"/>
      </w:pPr>
      <w:rPr>
        <w:rFonts w:hint="default"/>
        <w:lang w:val="en-gb" w:eastAsia="en-gb" w:bidi="en-gb"/>
      </w:rPr>
    </w:lvl>
  </w:abstractNum>
  <w:abstractNum w:abstractNumId="25">
    <w:multiLevelType w:val="hybridMultilevel"/>
    <w:lvl w:ilvl="0">
      <w:start w:val="0"/>
      <w:numFmt w:val="bullet"/>
      <w:lvlText w:val="•"/>
      <w:lvlJc w:val="left"/>
      <w:pPr>
        <w:ind w:left="439" w:hanging="360"/>
      </w:pPr>
      <w:rPr>
        <w:rFonts w:hint="default" w:ascii="Arial" w:hAnsi="Arial" w:eastAsia="Arial" w:cs="Arial"/>
        <w:color w:val="000101"/>
        <w:spacing w:val="-29"/>
        <w:w w:val="100"/>
        <w:sz w:val="22"/>
        <w:szCs w:val="22"/>
        <w:lang w:val="en-gb" w:eastAsia="en-gb" w:bidi="en-gb"/>
      </w:rPr>
    </w:lvl>
    <w:lvl w:ilvl="1">
      <w:start w:val="0"/>
      <w:numFmt w:val="bullet"/>
      <w:lvlText w:val="•"/>
      <w:lvlJc w:val="left"/>
      <w:pPr>
        <w:ind w:left="956" w:hanging="360"/>
      </w:pPr>
      <w:rPr>
        <w:rFonts w:hint="default"/>
        <w:lang w:val="en-gb" w:eastAsia="en-gb" w:bidi="en-gb"/>
      </w:rPr>
    </w:lvl>
    <w:lvl w:ilvl="2">
      <w:start w:val="0"/>
      <w:numFmt w:val="bullet"/>
      <w:lvlText w:val="•"/>
      <w:lvlJc w:val="left"/>
      <w:pPr>
        <w:ind w:left="1472" w:hanging="360"/>
      </w:pPr>
      <w:rPr>
        <w:rFonts w:hint="default"/>
        <w:lang w:val="en-gb" w:eastAsia="en-gb" w:bidi="en-gb"/>
      </w:rPr>
    </w:lvl>
    <w:lvl w:ilvl="3">
      <w:start w:val="0"/>
      <w:numFmt w:val="bullet"/>
      <w:lvlText w:val="•"/>
      <w:lvlJc w:val="left"/>
      <w:pPr>
        <w:ind w:left="1989" w:hanging="360"/>
      </w:pPr>
      <w:rPr>
        <w:rFonts w:hint="default"/>
        <w:lang w:val="en-gb" w:eastAsia="en-gb" w:bidi="en-gb"/>
      </w:rPr>
    </w:lvl>
    <w:lvl w:ilvl="4">
      <w:start w:val="0"/>
      <w:numFmt w:val="bullet"/>
      <w:lvlText w:val="•"/>
      <w:lvlJc w:val="left"/>
      <w:pPr>
        <w:ind w:left="2505" w:hanging="360"/>
      </w:pPr>
      <w:rPr>
        <w:rFonts w:hint="default"/>
        <w:lang w:val="en-gb" w:eastAsia="en-gb" w:bidi="en-gb"/>
      </w:rPr>
    </w:lvl>
    <w:lvl w:ilvl="5">
      <w:start w:val="0"/>
      <w:numFmt w:val="bullet"/>
      <w:lvlText w:val="•"/>
      <w:lvlJc w:val="left"/>
      <w:pPr>
        <w:ind w:left="3022" w:hanging="360"/>
      </w:pPr>
      <w:rPr>
        <w:rFonts w:hint="default"/>
        <w:lang w:val="en-gb" w:eastAsia="en-gb" w:bidi="en-gb"/>
      </w:rPr>
    </w:lvl>
    <w:lvl w:ilvl="6">
      <w:start w:val="0"/>
      <w:numFmt w:val="bullet"/>
      <w:lvlText w:val="•"/>
      <w:lvlJc w:val="left"/>
      <w:pPr>
        <w:ind w:left="3538" w:hanging="360"/>
      </w:pPr>
      <w:rPr>
        <w:rFonts w:hint="default"/>
        <w:lang w:val="en-gb" w:eastAsia="en-gb" w:bidi="en-gb"/>
      </w:rPr>
    </w:lvl>
    <w:lvl w:ilvl="7">
      <w:start w:val="0"/>
      <w:numFmt w:val="bullet"/>
      <w:lvlText w:val="•"/>
      <w:lvlJc w:val="left"/>
      <w:pPr>
        <w:ind w:left="4054" w:hanging="360"/>
      </w:pPr>
      <w:rPr>
        <w:rFonts w:hint="default"/>
        <w:lang w:val="en-gb" w:eastAsia="en-gb" w:bidi="en-gb"/>
      </w:rPr>
    </w:lvl>
    <w:lvl w:ilvl="8">
      <w:start w:val="0"/>
      <w:numFmt w:val="bullet"/>
      <w:lvlText w:val="•"/>
      <w:lvlJc w:val="left"/>
      <w:pPr>
        <w:ind w:left="4571" w:hanging="360"/>
      </w:pPr>
      <w:rPr>
        <w:rFonts w:hint="default"/>
        <w:lang w:val="en-gb" w:eastAsia="en-gb" w:bidi="en-gb"/>
      </w:rPr>
    </w:lvl>
  </w:abstractNum>
  <w:abstractNum w:abstractNumId="24">
    <w:multiLevelType w:val="hybridMultilevel"/>
    <w:lvl w:ilvl="0">
      <w:start w:val="0"/>
      <w:numFmt w:val="bullet"/>
      <w:lvlText w:val="•"/>
      <w:lvlJc w:val="left"/>
      <w:pPr>
        <w:ind w:left="439" w:hanging="360"/>
      </w:pPr>
      <w:rPr>
        <w:rFonts w:hint="default" w:ascii="Arial" w:hAnsi="Arial" w:eastAsia="Arial" w:cs="Arial"/>
        <w:spacing w:val="-23"/>
        <w:w w:val="100"/>
        <w:sz w:val="22"/>
        <w:szCs w:val="22"/>
        <w:lang w:val="en-gb" w:eastAsia="en-gb" w:bidi="en-gb"/>
      </w:rPr>
    </w:lvl>
    <w:lvl w:ilvl="1">
      <w:start w:val="0"/>
      <w:numFmt w:val="bullet"/>
      <w:lvlText w:val="•"/>
      <w:lvlJc w:val="left"/>
      <w:pPr>
        <w:ind w:left="956" w:hanging="360"/>
      </w:pPr>
      <w:rPr>
        <w:rFonts w:hint="default"/>
        <w:lang w:val="en-gb" w:eastAsia="en-gb" w:bidi="en-gb"/>
      </w:rPr>
    </w:lvl>
    <w:lvl w:ilvl="2">
      <w:start w:val="0"/>
      <w:numFmt w:val="bullet"/>
      <w:lvlText w:val="•"/>
      <w:lvlJc w:val="left"/>
      <w:pPr>
        <w:ind w:left="1472" w:hanging="360"/>
      </w:pPr>
      <w:rPr>
        <w:rFonts w:hint="default"/>
        <w:lang w:val="en-gb" w:eastAsia="en-gb" w:bidi="en-gb"/>
      </w:rPr>
    </w:lvl>
    <w:lvl w:ilvl="3">
      <w:start w:val="0"/>
      <w:numFmt w:val="bullet"/>
      <w:lvlText w:val="•"/>
      <w:lvlJc w:val="left"/>
      <w:pPr>
        <w:ind w:left="1989" w:hanging="360"/>
      </w:pPr>
      <w:rPr>
        <w:rFonts w:hint="default"/>
        <w:lang w:val="en-gb" w:eastAsia="en-gb" w:bidi="en-gb"/>
      </w:rPr>
    </w:lvl>
    <w:lvl w:ilvl="4">
      <w:start w:val="0"/>
      <w:numFmt w:val="bullet"/>
      <w:lvlText w:val="•"/>
      <w:lvlJc w:val="left"/>
      <w:pPr>
        <w:ind w:left="2505" w:hanging="360"/>
      </w:pPr>
      <w:rPr>
        <w:rFonts w:hint="default"/>
        <w:lang w:val="en-gb" w:eastAsia="en-gb" w:bidi="en-gb"/>
      </w:rPr>
    </w:lvl>
    <w:lvl w:ilvl="5">
      <w:start w:val="0"/>
      <w:numFmt w:val="bullet"/>
      <w:lvlText w:val="•"/>
      <w:lvlJc w:val="left"/>
      <w:pPr>
        <w:ind w:left="3022" w:hanging="360"/>
      </w:pPr>
      <w:rPr>
        <w:rFonts w:hint="default"/>
        <w:lang w:val="en-gb" w:eastAsia="en-gb" w:bidi="en-gb"/>
      </w:rPr>
    </w:lvl>
    <w:lvl w:ilvl="6">
      <w:start w:val="0"/>
      <w:numFmt w:val="bullet"/>
      <w:lvlText w:val="•"/>
      <w:lvlJc w:val="left"/>
      <w:pPr>
        <w:ind w:left="3538" w:hanging="360"/>
      </w:pPr>
      <w:rPr>
        <w:rFonts w:hint="default"/>
        <w:lang w:val="en-gb" w:eastAsia="en-gb" w:bidi="en-gb"/>
      </w:rPr>
    </w:lvl>
    <w:lvl w:ilvl="7">
      <w:start w:val="0"/>
      <w:numFmt w:val="bullet"/>
      <w:lvlText w:val="•"/>
      <w:lvlJc w:val="left"/>
      <w:pPr>
        <w:ind w:left="4054" w:hanging="360"/>
      </w:pPr>
      <w:rPr>
        <w:rFonts w:hint="default"/>
        <w:lang w:val="en-gb" w:eastAsia="en-gb" w:bidi="en-gb"/>
      </w:rPr>
    </w:lvl>
    <w:lvl w:ilvl="8">
      <w:start w:val="0"/>
      <w:numFmt w:val="bullet"/>
      <w:lvlText w:val="•"/>
      <w:lvlJc w:val="left"/>
      <w:pPr>
        <w:ind w:left="4571" w:hanging="360"/>
      </w:pPr>
      <w:rPr>
        <w:rFonts w:hint="default"/>
        <w:lang w:val="en-gb" w:eastAsia="en-gb" w:bidi="en-gb"/>
      </w:rPr>
    </w:lvl>
  </w:abstractNum>
  <w:abstractNum w:abstractNumId="23">
    <w:multiLevelType w:val="hybridMultilevel"/>
    <w:lvl w:ilvl="0">
      <w:start w:val="0"/>
      <w:numFmt w:val="bullet"/>
      <w:lvlText w:val="•"/>
      <w:lvlJc w:val="left"/>
      <w:pPr>
        <w:ind w:left="439"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956" w:hanging="360"/>
      </w:pPr>
      <w:rPr>
        <w:rFonts w:hint="default"/>
        <w:lang w:val="en-gb" w:eastAsia="en-gb" w:bidi="en-gb"/>
      </w:rPr>
    </w:lvl>
    <w:lvl w:ilvl="2">
      <w:start w:val="0"/>
      <w:numFmt w:val="bullet"/>
      <w:lvlText w:val="•"/>
      <w:lvlJc w:val="left"/>
      <w:pPr>
        <w:ind w:left="1472" w:hanging="360"/>
      </w:pPr>
      <w:rPr>
        <w:rFonts w:hint="default"/>
        <w:lang w:val="en-gb" w:eastAsia="en-gb" w:bidi="en-gb"/>
      </w:rPr>
    </w:lvl>
    <w:lvl w:ilvl="3">
      <w:start w:val="0"/>
      <w:numFmt w:val="bullet"/>
      <w:lvlText w:val="•"/>
      <w:lvlJc w:val="left"/>
      <w:pPr>
        <w:ind w:left="1989" w:hanging="360"/>
      </w:pPr>
      <w:rPr>
        <w:rFonts w:hint="default"/>
        <w:lang w:val="en-gb" w:eastAsia="en-gb" w:bidi="en-gb"/>
      </w:rPr>
    </w:lvl>
    <w:lvl w:ilvl="4">
      <w:start w:val="0"/>
      <w:numFmt w:val="bullet"/>
      <w:lvlText w:val="•"/>
      <w:lvlJc w:val="left"/>
      <w:pPr>
        <w:ind w:left="2505" w:hanging="360"/>
      </w:pPr>
      <w:rPr>
        <w:rFonts w:hint="default"/>
        <w:lang w:val="en-gb" w:eastAsia="en-gb" w:bidi="en-gb"/>
      </w:rPr>
    </w:lvl>
    <w:lvl w:ilvl="5">
      <w:start w:val="0"/>
      <w:numFmt w:val="bullet"/>
      <w:lvlText w:val="•"/>
      <w:lvlJc w:val="left"/>
      <w:pPr>
        <w:ind w:left="3022" w:hanging="360"/>
      </w:pPr>
      <w:rPr>
        <w:rFonts w:hint="default"/>
        <w:lang w:val="en-gb" w:eastAsia="en-gb" w:bidi="en-gb"/>
      </w:rPr>
    </w:lvl>
    <w:lvl w:ilvl="6">
      <w:start w:val="0"/>
      <w:numFmt w:val="bullet"/>
      <w:lvlText w:val="•"/>
      <w:lvlJc w:val="left"/>
      <w:pPr>
        <w:ind w:left="3538" w:hanging="360"/>
      </w:pPr>
      <w:rPr>
        <w:rFonts w:hint="default"/>
        <w:lang w:val="en-gb" w:eastAsia="en-gb" w:bidi="en-gb"/>
      </w:rPr>
    </w:lvl>
    <w:lvl w:ilvl="7">
      <w:start w:val="0"/>
      <w:numFmt w:val="bullet"/>
      <w:lvlText w:val="•"/>
      <w:lvlJc w:val="left"/>
      <w:pPr>
        <w:ind w:left="4054" w:hanging="360"/>
      </w:pPr>
      <w:rPr>
        <w:rFonts w:hint="default"/>
        <w:lang w:val="en-gb" w:eastAsia="en-gb" w:bidi="en-gb"/>
      </w:rPr>
    </w:lvl>
    <w:lvl w:ilvl="8">
      <w:start w:val="0"/>
      <w:numFmt w:val="bullet"/>
      <w:lvlText w:val="•"/>
      <w:lvlJc w:val="left"/>
      <w:pPr>
        <w:ind w:left="4571" w:hanging="360"/>
      </w:pPr>
      <w:rPr>
        <w:rFonts w:hint="default"/>
        <w:lang w:val="en-gb" w:eastAsia="en-gb" w:bidi="en-gb"/>
      </w:rPr>
    </w:lvl>
  </w:abstractNum>
  <w:abstractNum w:abstractNumId="22">
    <w:multiLevelType w:val="hybridMultilevel"/>
    <w:lvl w:ilvl="0">
      <w:start w:val="0"/>
      <w:numFmt w:val="bullet"/>
      <w:lvlText w:val="•"/>
      <w:lvlJc w:val="left"/>
      <w:pPr>
        <w:ind w:left="440" w:hanging="360"/>
      </w:pPr>
      <w:rPr>
        <w:rFonts w:hint="default" w:ascii="Arial" w:hAnsi="Arial" w:eastAsia="Arial" w:cs="Arial"/>
        <w:spacing w:val="-25"/>
        <w:w w:val="100"/>
        <w:sz w:val="22"/>
        <w:szCs w:val="22"/>
        <w:lang w:val="en-gb" w:eastAsia="en-gb" w:bidi="en-gb"/>
      </w:rPr>
    </w:lvl>
    <w:lvl w:ilvl="1">
      <w:start w:val="0"/>
      <w:numFmt w:val="bullet"/>
      <w:lvlText w:val="•"/>
      <w:lvlJc w:val="left"/>
      <w:pPr>
        <w:ind w:left="960" w:hanging="360"/>
      </w:pPr>
      <w:rPr>
        <w:rFonts w:hint="default"/>
        <w:lang w:val="en-gb" w:eastAsia="en-gb" w:bidi="en-gb"/>
      </w:rPr>
    </w:lvl>
    <w:lvl w:ilvl="2">
      <w:start w:val="0"/>
      <w:numFmt w:val="bullet"/>
      <w:lvlText w:val="•"/>
      <w:lvlJc w:val="left"/>
      <w:pPr>
        <w:ind w:left="1481" w:hanging="360"/>
      </w:pPr>
      <w:rPr>
        <w:rFonts w:hint="default"/>
        <w:lang w:val="en-gb" w:eastAsia="en-gb" w:bidi="en-gb"/>
      </w:rPr>
    </w:lvl>
    <w:lvl w:ilvl="3">
      <w:start w:val="0"/>
      <w:numFmt w:val="bullet"/>
      <w:lvlText w:val="•"/>
      <w:lvlJc w:val="left"/>
      <w:pPr>
        <w:ind w:left="2002" w:hanging="360"/>
      </w:pPr>
      <w:rPr>
        <w:rFonts w:hint="default"/>
        <w:lang w:val="en-gb" w:eastAsia="en-gb" w:bidi="en-gb"/>
      </w:rPr>
    </w:lvl>
    <w:lvl w:ilvl="4">
      <w:start w:val="0"/>
      <w:numFmt w:val="bullet"/>
      <w:lvlText w:val="•"/>
      <w:lvlJc w:val="left"/>
      <w:pPr>
        <w:ind w:left="2523" w:hanging="360"/>
      </w:pPr>
      <w:rPr>
        <w:rFonts w:hint="default"/>
        <w:lang w:val="en-gb" w:eastAsia="en-gb" w:bidi="en-gb"/>
      </w:rPr>
    </w:lvl>
    <w:lvl w:ilvl="5">
      <w:start w:val="0"/>
      <w:numFmt w:val="bullet"/>
      <w:lvlText w:val="•"/>
      <w:lvlJc w:val="left"/>
      <w:pPr>
        <w:ind w:left="3044" w:hanging="360"/>
      </w:pPr>
      <w:rPr>
        <w:rFonts w:hint="default"/>
        <w:lang w:val="en-gb" w:eastAsia="en-gb" w:bidi="en-gb"/>
      </w:rPr>
    </w:lvl>
    <w:lvl w:ilvl="6">
      <w:start w:val="0"/>
      <w:numFmt w:val="bullet"/>
      <w:lvlText w:val="•"/>
      <w:lvlJc w:val="left"/>
      <w:pPr>
        <w:ind w:left="3565" w:hanging="360"/>
      </w:pPr>
      <w:rPr>
        <w:rFonts w:hint="default"/>
        <w:lang w:val="en-gb" w:eastAsia="en-gb" w:bidi="en-gb"/>
      </w:rPr>
    </w:lvl>
    <w:lvl w:ilvl="7">
      <w:start w:val="0"/>
      <w:numFmt w:val="bullet"/>
      <w:lvlText w:val="•"/>
      <w:lvlJc w:val="left"/>
      <w:pPr>
        <w:ind w:left="4086" w:hanging="360"/>
      </w:pPr>
      <w:rPr>
        <w:rFonts w:hint="default"/>
        <w:lang w:val="en-gb" w:eastAsia="en-gb" w:bidi="en-gb"/>
      </w:rPr>
    </w:lvl>
    <w:lvl w:ilvl="8">
      <w:start w:val="0"/>
      <w:numFmt w:val="bullet"/>
      <w:lvlText w:val="•"/>
      <w:lvlJc w:val="left"/>
      <w:pPr>
        <w:ind w:left="4607" w:hanging="360"/>
      </w:pPr>
      <w:rPr>
        <w:rFonts w:hint="default"/>
        <w:lang w:val="en-gb" w:eastAsia="en-gb" w:bidi="en-gb"/>
      </w:rPr>
    </w:lvl>
  </w:abstractNum>
  <w:abstractNum w:abstractNumId="21">
    <w:multiLevelType w:val="hybridMultilevel"/>
    <w:lvl w:ilvl="0">
      <w:start w:val="0"/>
      <w:numFmt w:val="bullet"/>
      <w:lvlText w:val="•"/>
      <w:lvlJc w:val="left"/>
      <w:pPr>
        <w:ind w:left="440" w:hanging="360"/>
      </w:pPr>
      <w:rPr>
        <w:rFonts w:hint="default" w:ascii="Arial" w:hAnsi="Arial" w:eastAsia="Arial" w:cs="Arial"/>
        <w:spacing w:val="-23"/>
        <w:w w:val="100"/>
        <w:sz w:val="22"/>
        <w:szCs w:val="22"/>
        <w:lang w:val="en-gb" w:eastAsia="en-gb" w:bidi="en-gb"/>
      </w:rPr>
    </w:lvl>
    <w:lvl w:ilvl="1">
      <w:start w:val="0"/>
      <w:numFmt w:val="bullet"/>
      <w:lvlText w:val="•"/>
      <w:lvlJc w:val="left"/>
      <w:pPr>
        <w:ind w:left="960" w:hanging="360"/>
      </w:pPr>
      <w:rPr>
        <w:rFonts w:hint="default"/>
        <w:lang w:val="en-gb" w:eastAsia="en-gb" w:bidi="en-gb"/>
      </w:rPr>
    </w:lvl>
    <w:lvl w:ilvl="2">
      <w:start w:val="0"/>
      <w:numFmt w:val="bullet"/>
      <w:lvlText w:val="•"/>
      <w:lvlJc w:val="left"/>
      <w:pPr>
        <w:ind w:left="1481" w:hanging="360"/>
      </w:pPr>
      <w:rPr>
        <w:rFonts w:hint="default"/>
        <w:lang w:val="en-gb" w:eastAsia="en-gb" w:bidi="en-gb"/>
      </w:rPr>
    </w:lvl>
    <w:lvl w:ilvl="3">
      <w:start w:val="0"/>
      <w:numFmt w:val="bullet"/>
      <w:lvlText w:val="•"/>
      <w:lvlJc w:val="left"/>
      <w:pPr>
        <w:ind w:left="2002" w:hanging="360"/>
      </w:pPr>
      <w:rPr>
        <w:rFonts w:hint="default"/>
        <w:lang w:val="en-gb" w:eastAsia="en-gb" w:bidi="en-gb"/>
      </w:rPr>
    </w:lvl>
    <w:lvl w:ilvl="4">
      <w:start w:val="0"/>
      <w:numFmt w:val="bullet"/>
      <w:lvlText w:val="•"/>
      <w:lvlJc w:val="left"/>
      <w:pPr>
        <w:ind w:left="2523" w:hanging="360"/>
      </w:pPr>
      <w:rPr>
        <w:rFonts w:hint="default"/>
        <w:lang w:val="en-gb" w:eastAsia="en-gb" w:bidi="en-gb"/>
      </w:rPr>
    </w:lvl>
    <w:lvl w:ilvl="5">
      <w:start w:val="0"/>
      <w:numFmt w:val="bullet"/>
      <w:lvlText w:val="•"/>
      <w:lvlJc w:val="left"/>
      <w:pPr>
        <w:ind w:left="3044" w:hanging="360"/>
      </w:pPr>
      <w:rPr>
        <w:rFonts w:hint="default"/>
        <w:lang w:val="en-gb" w:eastAsia="en-gb" w:bidi="en-gb"/>
      </w:rPr>
    </w:lvl>
    <w:lvl w:ilvl="6">
      <w:start w:val="0"/>
      <w:numFmt w:val="bullet"/>
      <w:lvlText w:val="•"/>
      <w:lvlJc w:val="left"/>
      <w:pPr>
        <w:ind w:left="3565" w:hanging="360"/>
      </w:pPr>
      <w:rPr>
        <w:rFonts w:hint="default"/>
        <w:lang w:val="en-gb" w:eastAsia="en-gb" w:bidi="en-gb"/>
      </w:rPr>
    </w:lvl>
    <w:lvl w:ilvl="7">
      <w:start w:val="0"/>
      <w:numFmt w:val="bullet"/>
      <w:lvlText w:val="•"/>
      <w:lvlJc w:val="left"/>
      <w:pPr>
        <w:ind w:left="4086" w:hanging="360"/>
      </w:pPr>
      <w:rPr>
        <w:rFonts w:hint="default"/>
        <w:lang w:val="en-gb" w:eastAsia="en-gb" w:bidi="en-gb"/>
      </w:rPr>
    </w:lvl>
    <w:lvl w:ilvl="8">
      <w:start w:val="0"/>
      <w:numFmt w:val="bullet"/>
      <w:lvlText w:val="•"/>
      <w:lvlJc w:val="left"/>
      <w:pPr>
        <w:ind w:left="4607" w:hanging="360"/>
      </w:pPr>
      <w:rPr>
        <w:rFonts w:hint="default"/>
        <w:lang w:val="en-gb" w:eastAsia="en-gb" w:bidi="en-gb"/>
      </w:rPr>
    </w:lvl>
  </w:abstractNum>
  <w:abstractNum w:abstractNumId="20">
    <w:multiLevelType w:val="hybridMultilevel"/>
    <w:lvl w:ilvl="0">
      <w:start w:val="0"/>
      <w:numFmt w:val="bullet"/>
      <w:lvlText w:val="•"/>
      <w:lvlJc w:val="left"/>
      <w:pPr>
        <w:ind w:left="440" w:hanging="360"/>
      </w:pPr>
      <w:rPr>
        <w:rFonts w:hint="default" w:ascii="Arial" w:hAnsi="Arial" w:eastAsia="Arial" w:cs="Arial"/>
        <w:spacing w:val="-4"/>
        <w:w w:val="100"/>
        <w:sz w:val="22"/>
        <w:szCs w:val="22"/>
        <w:lang w:val="en-gb" w:eastAsia="en-gb" w:bidi="en-gb"/>
      </w:rPr>
    </w:lvl>
    <w:lvl w:ilvl="1">
      <w:start w:val="0"/>
      <w:numFmt w:val="bullet"/>
      <w:lvlText w:val="•"/>
      <w:lvlJc w:val="left"/>
      <w:pPr>
        <w:ind w:left="960" w:hanging="360"/>
      </w:pPr>
      <w:rPr>
        <w:rFonts w:hint="default"/>
        <w:lang w:val="en-gb" w:eastAsia="en-gb" w:bidi="en-gb"/>
      </w:rPr>
    </w:lvl>
    <w:lvl w:ilvl="2">
      <w:start w:val="0"/>
      <w:numFmt w:val="bullet"/>
      <w:lvlText w:val="•"/>
      <w:lvlJc w:val="left"/>
      <w:pPr>
        <w:ind w:left="1481" w:hanging="360"/>
      </w:pPr>
      <w:rPr>
        <w:rFonts w:hint="default"/>
        <w:lang w:val="en-gb" w:eastAsia="en-gb" w:bidi="en-gb"/>
      </w:rPr>
    </w:lvl>
    <w:lvl w:ilvl="3">
      <w:start w:val="0"/>
      <w:numFmt w:val="bullet"/>
      <w:lvlText w:val="•"/>
      <w:lvlJc w:val="left"/>
      <w:pPr>
        <w:ind w:left="2002" w:hanging="360"/>
      </w:pPr>
      <w:rPr>
        <w:rFonts w:hint="default"/>
        <w:lang w:val="en-gb" w:eastAsia="en-gb" w:bidi="en-gb"/>
      </w:rPr>
    </w:lvl>
    <w:lvl w:ilvl="4">
      <w:start w:val="0"/>
      <w:numFmt w:val="bullet"/>
      <w:lvlText w:val="•"/>
      <w:lvlJc w:val="left"/>
      <w:pPr>
        <w:ind w:left="2523" w:hanging="360"/>
      </w:pPr>
      <w:rPr>
        <w:rFonts w:hint="default"/>
        <w:lang w:val="en-gb" w:eastAsia="en-gb" w:bidi="en-gb"/>
      </w:rPr>
    </w:lvl>
    <w:lvl w:ilvl="5">
      <w:start w:val="0"/>
      <w:numFmt w:val="bullet"/>
      <w:lvlText w:val="•"/>
      <w:lvlJc w:val="left"/>
      <w:pPr>
        <w:ind w:left="3044" w:hanging="360"/>
      </w:pPr>
      <w:rPr>
        <w:rFonts w:hint="default"/>
        <w:lang w:val="en-gb" w:eastAsia="en-gb" w:bidi="en-gb"/>
      </w:rPr>
    </w:lvl>
    <w:lvl w:ilvl="6">
      <w:start w:val="0"/>
      <w:numFmt w:val="bullet"/>
      <w:lvlText w:val="•"/>
      <w:lvlJc w:val="left"/>
      <w:pPr>
        <w:ind w:left="3565" w:hanging="360"/>
      </w:pPr>
      <w:rPr>
        <w:rFonts w:hint="default"/>
        <w:lang w:val="en-gb" w:eastAsia="en-gb" w:bidi="en-gb"/>
      </w:rPr>
    </w:lvl>
    <w:lvl w:ilvl="7">
      <w:start w:val="0"/>
      <w:numFmt w:val="bullet"/>
      <w:lvlText w:val="•"/>
      <w:lvlJc w:val="left"/>
      <w:pPr>
        <w:ind w:left="4086" w:hanging="360"/>
      </w:pPr>
      <w:rPr>
        <w:rFonts w:hint="default"/>
        <w:lang w:val="en-gb" w:eastAsia="en-gb" w:bidi="en-gb"/>
      </w:rPr>
    </w:lvl>
    <w:lvl w:ilvl="8">
      <w:start w:val="0"/>
      <w:numFmt w:val="bullet"/>
      <w:lvlText w:val="•"/>
      <w:lvlJc w:val="left"/>
      <w:pPr>
        <w:ind w:left="4607" w:hanging="360"/>
      </w:pPr>
      <w:rPr>
        <w:rFonts w:hint="default"/>
        <w:lang w:val="en-gb" w:eastAsia="en-gb" w:bidi="en-gb"/>
      </w:rPr>
    </w:lvl>
  </w:abstractNum>
  <w:abstractNum w:abstractNumId="19">
    <w:multiLevelType w:val="hybridMultilevel"/>
    <w:lvl w:ilvl="0">
      <w:start w:val="0"/>
      <w:numFmt w:val="bullet"/>
      <w:lvlText w:val="•"/>
      <w:lvlJc w:val="left"/>
      <w:pPr>
        <w:ind w:left="440"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960" w:hanging="360"/>
      </w:pPr>
      <w:rPr>
        <w:rFonts w:hint="default"/>
        <w:lang w:val="en-gb" w:eastAsia="en-gb" w:bidi="en-gb"/>
      </w:rPr>
    </w:lvl>
    <w:lvl w:ilvl="2">
      <w:start w:val="0"/>
      <w:numFmt w:val="bullet"/>
      <w:lvlText w:val="•"/>
      <w:lvlJc w:val="left"/>
      <w:pPr>
        <w:ind w:left="1481" w:hanging="360"/>
      </w:pPr>
      <w:rPr>
        <w:rFonts w:hint="default"/>
        <w:lang w:val="en-gb" w:eastAsia="en-gb" w:bidi="en-gb"/>
      </w:rPr>
    </w:lvl>
    <w:lvl w:ilvl="3">
      <w:start w:val="0"/>
      <w:numFmt w:val="bullet"/>
      <w:lvlText w:val="•"/>
      <w:lvlJc w:val="left"/>
      <w:pPr>
        <w:ind w:left="2002" w:hanging="360"/>
      </w:pPr>
      <w:rPr>
        <w:rFonts w:hint="default"/>
        <w:lang w:val="en-gb" w:eastAsia="en-gb" w:bidi="en-gb"/>
      </w:rPr>
    </w:lvl>
    <w:lvl w:ilvl="4">
      <w:start w:val="0"/>
      <w:numFmt w:val="bullet"/>
      <w:lvlText w:val="•"/>
      <w:lvlJc w:val="left"/>
      <w:pPr>
        <w:ind w:left="2523" w:hanging="360"/>
      </w:pPr>
      <w:rPr>
        <w:rFonts w:hint="default"/>
        <w:lang w:val="en-gb" w:eastAsia="en-gb" w:bidi="en-gb"/>
      </w:rPr>
    </w:lvl>
    <w:lvl w:ilvl="5">
      <w:start w:val="0"/>
      <w:numFmt w:val="bullet"/>
      <w:lvlText w:val="•"/>
      <w:lvlJc w:val="left"/>
      <w:pPr>
        <w:ind w:left="3044" w:hanging="360"/>
      </w:pPr>
      <w:rPr>
        <w:rFonts w:hint="default"/>
        <w:lang w:val="en-gb" w:eastAsia="en-gb" w:bidi="en-gb"/>
      </w:rPr>
    </w:lvl>
    <w:lvl w:ilvl="6">
      <w:start w:val="0"/>
      <w:numFmt w:val="bullet"/>
      <w:lvlText w:val="•"/>
      <w:lvlJc w:val="left"/>
      <w:pPr>
        <w:ind w:left="3565" w:hanging="360"/>
      </w:pPr>
      <w:rPr>
        <w:rFonts w:hint="default"/>
        <w:lang w:val="en-gb" w:eastAsia="en-gb" w:bidi="en-gb"/>
      </w:rPr>
    </w:lvl>
    <w:lvl w:ilvl="7">
      <w:start w:val="0"/>
      <w:numFmt w:val="bullet"/>
      <w:lvlText w:val="•"/>
      <w:lvlJc w:val="left"/>
      <w:pPr>
        <w:ind w:left="4086" w:hanging="360"/>
      </w:pPr>
      <w:rPr>
        <w:rFonts w:hint="default"/>
        <w:lang w:val="en-gb" w:eastAsia="en-gb" w:bidi="en-gb"/>
      </w:rPr>
    </w:lvl>
    <w:lvl w:ilvl="8">
      <w:start w:val="0"/>
      <w:numFmt w:val="bullet"/>
      <w:lvlText w:val="•"/>
      <w:lvlJc w:val="left"/>
      <w:pPr>
        <w:ind w:left="4607" w:hanging="360"/>
      </w:pPr>
      <w:rPr>
        <w:rFonts w:hint="default"/>
        <w:lang w:val="en-gb" w:eastAsia="en-gb" w:bidi="en-gb"/>
      </w:rPr>
    </w:lvl>
  </w:abstractNum>
  <w:abstractNum w:abstractNumId="18">
    <w:multiLevelType w:val="hybridMultilevel"/>
    <w:lvl w:ilvl="0">
      <w:start w:val="0"/>
      <w:numFmt w:val="bullet"/>
      <w:lvlText w:val="•"/>
      <w:lvlJc w:val="left"/>
      <w:pPr>
        <w:ind w:left="440"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960" w:hanging="360"/>
      </w:pPr>
      <w:rPr>
        <w:rFonts w:hint="default"/>
        <w:lang w:val="en-gb" w:eastAsia="en-gb" w:bidi="en-gb"/>
      </w:rPr>
    </w:lvl>
    <w:lvl w:ilvl="2">
      <w:start w:val="0"/>
      <w:numFmt w:val="bullet"/>
      <w:lvlText w:val="•"/>
      <w:lvlJc w:val="left"/>
      <w:pPr>
        <w:ind w:left="1481" w:hanging="360"/>
      </w:pPr>
      <w:rPr>
        <w:rFonts w:hint="default"/>
        <w:lang w:val="en-gb" w:eastAsia="en-gb" w:bidi="en-gb"/>
      </w:rPr>
    </w:lvl>
    <w:lvl w:ilvl="3">
      <w:start w:val="0"/>
      <w:numFmt w:val="bullet"/>
      <w:lvlText w:val="•"/>
      <w:lvlJc w:val="left"/>
      <w:pPr>
        <w:ind w:left="2002" w:hanging="360"/>
      </w:pPr>
      <w:rPr>
        <w:rFonts w:hint="default"/>
        <w:lang w:val="en-gb" w:eastAsia="en-gb" w:bidi="en-gb"/>
      </w:rPr>
    </w:lvl>
    <w:lvl w:ilvl="4">
      <w:start w:val="0"/>
      <w:numFmt w:val="bullet"/>
      <w:lvlText w:val="•"/>
      <w:lvlJc w:val="left"/>
      <w:pPr>
        <w:ind w:left="2523" w:hanging="360"/>
      </w:pPr>
      <w:rPr>
        <w:rFonts w:hint="default"/>
        <w:lang w:val="en-gb" w:eastAsia="en-gb" w:bidi="en-gb"/>
      </w:rPr>
    </w:lvl>
    <w:lvl w:ilvl="5">
      <w:start w:val="0"/>
      <w:numFmt w:val="bullet"/>
      <w:lvlText w:val="•"/>
      <w:lvlJc w:val="left"/>
      <w:pPr>
        <w:ind w:left="3044" w:hanging="360"/>
      </w:pPr>
      <w:rPr>
        <w:rFonts w:hint="default"/>
        <w:lang w:val="en-gb" w:eastAsia="en-gb" w:bidi="en-gb"/>
      </w:rPr>
    </w:lvl>
    <w:lvl w:ilvl="6">
      <w:start w:val="0"/>
      <w:numFmt w:val="bullet"/>
      <w:lvlText w:val="•"/>
      <w:lvlJc w:val="left"/>
      <w:pPr>
        <w:ind w:left="3565" w:hanging="360"/>
      </w:pPr>
      <w:rPr>
        <w:rFonts w:hint="default"/>
        <w:lang w:val="en-gb" w:eastAsia="en-gb" w:bidi="en-gb"/>
      </w:rPr>
    </w:lvl>
    <w:lvl w:ilvl="7">
      <w:start w:val="0"/>
      <w:numFmt w:val="bullet"/>
      <w:lvlText w:val="•"/>
      <w:lvlJc w:val="left"/>
      <w:pPr>
        <w:ind w:left="4086" w:hanging="360"/>
      </w:pPr>
      <w:rPr>
        <w:rFonts w:hint="default"/>
        <w:lang w:val="en-gb" w:eastAsia="en-gb" w:bidi="en-gb"/>
      </w:rPr>
    </w:lvl>
    <w:lvl w:ilvl="8">
      <w:start w:val="0"/>
      <w:numFmt w:val="bullet"/>
      <w:lvlText w:val="•"/>
      <w:lvlJc w:val="left"/>
      <w:pPr>
        <w:ind w:left="4607" w:hanging="360"/>
      </w:pPr>
      <w:rPr>
        <w:rFonts w:hint="default"/>
        <w:lang w:val="en-gb" w:eastAsia="en-gb" w:bidi="en-gb"/>
      </w:rPr>
    </w:lvl>
  </w:abstractNum>
  <w:abstractNum w:abstractNumId="17">
    <w:multiLevelType w:val="hybridMultilevel"/>
    <w:lvl w:ilvl="0">
      <w:start w:val="0"/>
      <w:numFmt w:val="bullet"/>
      <w:lvlText w:val="•"/>
      <w:lvlJc w:val="left"/>
      <w:pPr>
        <w:ind w:left="439"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961" w:hanging="360"/>
      </w:pPr>
      <w:rPr>
        <w:rFonts w:hint="default"/>
        <w:lang w:val="en-gb" w:eastAsia="en-gb" w:bidi="en-gb"/>
      </w:rPr>
    </w:lvl>
    <w:lvl w:ilvl="2">
      <w:start w:val="0"/>
      <w:numFmt w:val="bullet"/>
      <w:lvlText w:val="•"/>
      <w:lvlJc w:val="left"/>
      <w:pPr>
        <w:ind w:left="1482" w:hanging="360"/>
      </w:pPr>
      <w:rPr>
        <w:rFonts w:hint="default"/>
        <w:lang w:val="en-gb" w:eastAsia="en-gb" w:bidi="en-gb"/>
      </w:rPr>
    </w:lvl>
    <w:lvl w:ilvl="3">
      <w:start w:val="0"/>
      <w:numFmt w:val="bullet"/>
      <w:lvlText w:val="•"/>
      <w:lvlJc w:val="left"/>
      <w:pPr>
        <w:ind w:left="2003" w:hanging="360"/>
      </w:pPr>
      <w:rPr>
        <w:rFonts w:hint="default"/>
        <w:lang w:val="en-gb" w:eastAsia="en-gb" w:bidi="en-gb"/>
      </w:rPr>
    </w:lvl>
    <w:lvl w:ilvl="4">
      <w:start w:val="0"/>
      <w:numFmt w:val="bullet"/>
      <w:lvlText w:val="•"/>
      <w:lvlJc w:val="left"/>
      <w:pPr>
        <w:ind w:left="2524" w:hanging="360"/>
      </w:pPr>
      <w:rPr>
        <w:rFonts w:hint="default"/>
        <w:lang w:val="en-gb" w:eastAsia="en-gb" w:bidi="en-gb"/>
      </w:rPr>
    </w:lvl>
    <w:lvl w:ilvl="5">
      <w:start w:val="0"/>
      <w:numFmt w:val="bullet"/>
      <w:lvlText w:val="•"/>
      <w:lvlJc w:val="left"/>
      <w:pPr>
        <w:ind w:left="3045" w:hanging="360"/>
      </w:pPr>
      <w:rPr>
        <w:rFonts w:hint="default"/>
        <w:lang w:val="en-gb" w:eastAsia="en-gb" w:bidi="en-gb"/>
      </w:rPr>
    </w:lvl>
    <w:lvl w:ilvl="6">
      <w:start w:val="0"/>
      <w:numFmt w:val="bullet"/>
      <w:lvlText w:val="•"/>
      <w:lvlJc w:val="left"/>
      <w:pPr>
        <w:ind w:left="3566" w:hanging="360"/>
      </w:pPr>
      <w:rPr>
        <w:rFonts w:hint="default"/>
        <w:lang w:val="en-gb" w:eastAsia="en-gb" w:bidi="en-gb"/>
      </w:rPr>
    </w:lvl>
    <w:lvl w:ilvl="7">
      <w:start w:val="0"/>
      <w:numFmt w:val="bullet"/>
      <w:lvlText w:val="•"/>
      <w:lvlJc w:val="left"/>
      <w:pPr>
        <w:ind w:left="4087" w:hanging="360"/>
      </w:pPr>
      <w:rPr>
        <w:rFonts w:hint="default"/>
        <w:lang w:val="en-gb" w:eastAsia="en-gb" w:bidi="en-gb"/>
      </w:rPr>
    </w:lvl>
    <w:lvl w:ilvl="8">
      <w:start w:val="0"/>
      <w:numFmt w:val="bullet"/>
      <w:lvlText w:val="•"/>
      <w:lvlJc w:val="left"/>
      <w:pPr>
        <w:ind w:left="4608" w:hanging="360"/>
      </w:pPr>
      <w:rPr>
        <w:rFonts w:hint="default"/>
        <w:lang w:val="en-gb" w:eastAsia="en-gb" w:bidi="en-gb"/>
      </w:rPr>
    </w:lvl>
  </w:abstractNum>
  <w:abstractNum w:abstractNumId="16">
    <w:multiLevelType w:val="hybridMultilevel"/>
    <w:lvl w:ilvl="0">
      <w:start w:val="0"/>
      <w:numFmt w:val="bullet"/>
      <w:lvlText w:val="•"/>
      <w:lvlJc w:val="left"/>
      <w:pPr>
        <w:ind w:left="439" w:hanging="360"/>
      </w:pPr>
      <w:rPr>
        <w:rFonts w:hint="default" w:ascii="Arial" w:hAnsi="Arial" w:eastAsia="Arial" w:cs="Arial"/>
        <w:spacing w:val="-25"/>
        <w:w w:val="100"/>
        <w:sz w:val="22"/>
        <w:szCs w:val="22"/>
        <w:lang w:val="en-gb" w:eastAsia="en-gb" w:bidi="en-gb"/>
      </w:rPr>
    </w:lvl>
    <w:lvl w:ilvl="1">
      <w:start w:val="0"/>
      <w:numFmt w:val="bullet"/>
      <w:lvlText w:val="•"/>
      <w:lvlJc w:val="left"/>
      <w:pPr>
        <w:ind w:left="961" w:hanging="360"/>
      </w:pPr>
      <w:rPr>
        <w:rFonts w:hint="default"/>
        <w:lang w:val="en-gb" w:eastAsia="en-gb" w:bidi="en-gb"/>
      </w:rPr>
    </w:lvl>
    <w:lvl w:ilvl="2">
      <w:start w:val="0"/>
      <w:numFmt w:val="bullet"/>
      <w:lvlText w:val="•"/>
      <w:lvlJc w:val="left"/>
      <w:pPr>
        <w:ind w:left="1482" w:hanging="360"/>
      </w:pPr>
      <w:rPr>
        <w:rFonts w:hint="default"/>
        <w:lang w:val="en-gb" w:eastAsia="en-gb" w:bidi="en-gb"/>
      </w:rPr>
    </w:lvl>
    <w:lvl w:ilvl="3">
      <w:start w:val="0"/>
      <w:numFmt w:val="bullet"/>
      <w:lvlText w:val="•"/>
      <w:lvlJc w:val="left"/>
      <w:pPr>
        <w:ind w:left="2003" w:hanging="360"/>
      </w:pPr>
      <w:rPr>
        <w:rFonts w:hint="default"/>
        <w:lang w:val="en-gb" w:eastAsia="en-gb" w:bidi="en-gb"/>
      </w:rPr>
    </w:lvl>
    <w:lvl w:ilvl="4">
      <w:start w:val="0"/>
      <w:numFmt w:val="bullet"/>
      <w:lvlText w:val="•"/>
      <w:lvlJc w:val="left"/>
      <w:pPr>
        <w:ind w:left="2524" w:hanging="360"/>
      </w:pPr>
      <w:rPr>
        <w:rFonts w:hint="default"/>
        <w:lang w:val="en-gb" w:eastAsia="en-gb" w:bidi="en-gb"/>
      </w:rPr>
    </w:lvl>
    <w:lvl w:ilvl="5">
      <w:start w:val="0"/>
      <w:numFmt w:val="bullet"/>
      <w:lvlText w:val="•"/>
      <w:lvlJc w:val="left"/>
      <w:pPr>
        <w:ind w:left="3045" w:hanging="360"/>
      </w:pPr>
      <w:rPr>
        <w:rFonts w:hint="default"/>
        <w:lang w:val="en-gb" w:eastAsia="en-gb" w:bidi="en-gb"/>
      </w:rPr>
    </w:lvl>
    <w:lvl w:ilvl="6">
      <w:start w:val="0"/>
      <w:numFmt w:val="bullet"/>
      <w:lvlText w:val="•"/>
      <w:lvlJc w:val="left"/>
      <w:pPr>
        <w:ind w:left="3566" w:hanging="360"/>
      </w:pPr>
      <w:rPr>
        <w:rFonts w:hint="default"/>
        <w:lang w:val="en-gb" w:eastAsia="en-gb" w:bidi="en-gb"/>
      </w:rPr>
    </w:lvl>
    <w:lvl w:ilvl="7">
      <w:start w:val="0"/>
      <w:numFmt w:val="bullet"/>
      <w:lvlText w:val="•"/>
      <w:lvlJc w:val="left"/>
      <w:pPr>
        <w:ind w:left="4087" w:hanging="360"/>
      </w:pPr>
      <w:rPr>
        <w:rFonts w:hint="default"/>
        <w:lang w:val="en-gb" w:eastAsia="en-gb" w:bidi="en-gb"/>
      </w:rPr>
    </w:lvl>
    <w:lvl w:ilvl="8">
      <w:start w:val="0"/>
      <w:numFmt w:val="bullet"/>
      <w:lvlText w:val="•"/>
      <w:lvlJc w:val="left"/>
      <w:pPr>
        <w:ind w:left="4608" w:hanging="360"/>
      </w:pPr>
      <w:rPr>
        <w:rFonts w:hint="default"/>
        <w:lang w:val="en-gb" w:eastAsia="en-gb" w:bidi="en-gb"/>
      </w:rPr>
    </w:lvl>
  </w:abstractNum>
  <w:abstractNum w:abstractNumId="15">
    <w:multiLevelType w:val="hybridMultilevel"/>
    <w:lvl w:ilvl="0">
      <w:start w:val="0"/>
      <w:numFmt w:val="bullet"/>
      <w:lvlText w:val="•"/>
      <w:lvlJc w:val="left"/>
      <w:pPr>
        <w:ind w:left="439" w:hanging="360"/>
      </w:pPr>
      <w:rPr>
        <w:rFonts w:hint="default" w:ascii="Arial" w:hAnsi="Arial" w:eastAsia="Arial" w:cs="Arial"/>
        <w:spacing w:val="-23"/>
        <w:w w:val="100"/>
        <w:sz w:val="22"/>
        <w:szCs w:val="22"/>
        <w:lang w:val="en-gb" w:eastAsia="en-gb" w:bidi="en-gb"/>
      </w:rPr>
    </w:lvl>
    <w:lvl w:ilvl="1">
      <w:start w:val="0"/>
      <w:numFmt w:val="bullet"/>
      <w:lvlText w:val="•"/>
      <w:lvlJc w:val="left"/>
      <w:pPr>
        <w:ind w:left="961" w:hanging="360"/>
      </w:pPr>
      <w:rPr>
        <w:rFonts w:hint="default"/>
        <w:lang w:val="en-gb" w:eastAsia="en-gb" w:bidi="en-gb"/>
      </w:rPr>
    </w:lvl>
    <w:lvl w:ilvl="2">
      <w:start w:val="0"/>
      <w:numFmt w:val="bullet"/>
      <w:lvlText w:val="•"/>
      <w:lvlJc w:val="left"/>
      <w:pPr>
        <w:ind w:left="1482" w:hanging="360"/>
      </w:pPr>
      <w:rPr>
        <w:rFonts w:hint="default"/>
        <w:lang w:val="en-gb" w:eastAsia="en-gb" w:bidi="en-gb"/>
      </w:rPr>
    </w:lvl>
    <w:lvl w:ilvl="3">
      <w:start w:val="0"/>
      <w:numFmt w:val="bullet"/>
      <w:lvlText w:val="•"/>
      <w:lvlJc w:val="left"/>
      <w:pPr>
        <w:ind w:left="2003" w:hanging="360"/>
      </w:pPr>
      <w:rPr>
        <w:rFonts w:hint="default"/>
        <w:lang w:val="en-gb" w:eastAsia="en-gb" w:bidi="en-gb"/>
      </w:rPr>
    </w:lvl>
    <w:lvl w:ilvl="4">
      <w:start w:val="0"/>
      <w:numFmt w:val="bullet"/>
      <w:lvlText w:val="•"/>
      <w:lvlJc w:val="left"/>
      <w:pPr>
        <w:ind w:left="2524" w:hanging="360"/>
      </w:pPr>
      <w:rPr>
        <w:rFonts w:hint="default"/>
        <w:lang w:val="en-gb" w:eastAsia="en-gb" w:bidi="en-gb"/>
      </w:rPr>
    </w:lvl>
    <w:lvl w:ilvl="5">
      <w:start w:val="0"/>
      <w:numFmt w:val="bullet"/>
      <w:lvlText w:val="•"/>
      <w:lvlJc w:val="left"/>
      <w:pPr>
        <w:ind w:left="3045" w:hanging="360"/>
      </w:pPr>
      <w:rPr>
        <w:rFonts w:hint="default"/>
        <w:lang w:val="en-gb" w:eastAsia="en-gb" w:bidi="en-gb"/>
      </w:rPr>
    </w:lvl>
    <w:lvl w:ilvl="6">
      <w:start w:val="0"/>
      <w:numFmt w:val="bullet"/>
      <w:lvlText w:val="•"/>
      <w:lvlJc w:val="left"/>
      <w:pPr>
        <w:ind w:left="3566" w:hanging="360"/>
      </w:pPr>
      <w:rPr>
        <w:rFonts w:hint="default"/>
        <w:lang w:val="en-gb" w:eastAsia="en-gb" w:bidi="en-gb"/>
      </w:rPr>
    </w:lvl>
    <w:lvl w:ilvl="7">
      <w:start w:val="0"/>
      <w:numFmt w:val="bullet"/>
      <w:lvlText w:val="•"/>
      <w:lvlJc w:val="left"/>
      <w:pPr>
        <w:ind w:left="4087" w:hanging="360"/>
      </w:pPr>
      <w:rPr>
        <w:rFonts w:hint="default"/>
        <w:lang w:val="en-gb" w:eastAsia="en-gb" w:bidi="en-gb"/>
      </w:rPr>
    </w:lvl>
    <w:lvl w:ilvl="8">
      <w:start w:val="0"/>
      <w:numFmt w:val="bullet"/>
      <w:lvlText w:val="•"/>
      <w:lvlJc w:val="left"/>
      <w:pPr>
        <w:ind w:left="4608" w:hanging="360"/>
      </w:pPr>
      <w:rPr>
        <w:rFonts w:hint="default"/>
        <w:lang w:val="en-gb" w:eastAsia="en-gb" w:bidi="en-gb"/>
      </w:rPr>
    </w:lvl>
  </w:abstractNum>
  <w:abstractNum w:abstractNumId="14">
    <w:multiLevelType w:val="hybridMultilevel"/>
    <w:lvl w:ilvl="0">
      <w:start w:val="0"/>
      <w:numFmt w:val="bullet"/>
      <w:lvlText w:val="•"/>
      <w:lvlJc w:val="left"/>
      <w:pPr>
        <w:ind w:left="439"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1100" w:hanging="360"/>
      </w:pPr>
      <w:rPr>
        <w:rFonts w:hint="default"/>
        <w:lang w:val="en-gb" w:eastAsia="en-gb" w:bidi="en-gb"/>
      </w:rPr>
    </w:lvl>
    <w:lvl w:ilvl="2">
      <w:start w:val="0"/>
      <w:numFmt w:val="bullet"/>
      <w:lvlText w:val="•"/>
      <w:lvlJc w:val="left"/>
      <w:pPr>
        <w:ind w:left="1760" w:hanging="360"/>
      </w:pPr>
      <w:rPr>
        <w:rFonts w:hint="default"/>
        <w:lang w:val="en-gb" w:eastAsia="en-gb" w:bidi="en-gb"/>
      </w:rPr>
    </w:lvl>
    <w:lvl w:ilvl="3">
      <w:start w:val="0"/>
      <w:numFmt w:val="bullet"/>
      <w:lvlText w:val="•"/>
      <w:lvlJc w:val="left"/>
      <w:pPr>
        <w:ind w:left="2420" w:hanging="360"/>
      </w:pPr>
      <w:rPr>
        <w:rFonts w:hint="default"/>
        <w:lang w:val="en-gb" w:eastAsia="en-gb" w:bidi="en-gb"/>
      </w:rPr>
    </w:lvl>
    <w:lvl w:ilvl="4">
      <w:start w:val="0"/>
      <w:numFmt w:val="bullet"/>
      <w:lvlText w:val="•"/>
      <w:lvlJc w:val="left"/>
      <w:pPr>
        <w:ind w:left="3080" w:hanging="360"/>
      </w:pPr>
      <w:rPr>
        <w:rFonts w:hint="default"/>
        <w:lang w:val="en-gb" w:eastAsia="en-gb" w:bidi="en-gb"/>
      </w:rPr>
    </w:lvl>
    <w:lvl w:ilvl="5">
      <w:start w:val="0"/>
      <w:numFmt w:val="bullet"/>
      <w:lvlText w:val="•"/>
      <w:lvlJc w:val="left"/>
      <w:pPr>
        <w:ind w:left="3741" w:hanging="360"/>
      </w:pPr>
      <w:rPr>
        <w:rFonts w:hint="default"/>
        <w:lang w:val="en-gb" w:eastAsia="en-gb" w:bidi="en-gb"/>
      </w:rPr>
    </w:lvl>
    <w:lvl w:ilvl="6">
      <w:start w:val="0"/>
      <w:numFmt w:val="bullet"/>
      <w:lvlText w:val="•"/>
      <w:lvlJc w:val="left"/>
      <w:pPr>
        <w:ind w:left="4401" w:hanging="360"/>
      </w:pPr>
      <w:rPr>
        <w:rFonts w:hint="default"/>
        <w:lang w:val="en-gb" w:eastAsia="en-gb" w:bidi="en-gb"/>
      </w:rPr>
    </w:lvl>
    <w:lvl w:ilvl="7">
      <w:start w:val="0"/>
      <w:numFmt w:val="bullet"/>
      <w:lvlText w:val="•"/>
      <w:lvlJc w:val="left"/>
      <w:pPr>
        <w:ind w:left="5061" w:hanging="360"/>
      </w:pPr>
      <w:rPr>
        <w:rFonts w:hint="default"/>
        <w:lang w:val="en-gb" w:eastAsia="en-gb" w:bidi="en-gb"/>
      </w:rPr>
    </w:lvl>
    <w:lvl w:ilvl="8">
      <w:start w:val="0"/>
      <w:numFmt w:val="bullet"/>
      <w:lvlText w:val="•"/>
      <w:lvlJc w:val="left"/>
      <w:pPr>
        <w:ind w:left="5721" w:hanging="360"/>
      </w:pPr>
      <w:rPr>
        <w:rFonts w:hint="default"/>
        <w:lang w:val="en-gb" w:eastAsia="en-gb" w:bidi="en-gb"/>
      </w:rPr>
    </w:lvl>
  </w:abstractNum>
  <w:abstractNum w:abstractNumId="13">
    <w:multiLevelType w:val="hybridMultilevel"/>
    <w:lvl w:ilvl="0">
      <w:start w:val="0"/>
      <w:numFmt w:val="bullet"/>
      <w:lvlText w:val="•"/>
      <w:lvlJc w:val="left"/>
      <w:pPr>
        <w:ind w:left="439"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1100" w:hanging="360"/>
      </w:pPr>
      <w:rPr>
        <w:rFonts w:hint="default"/>
        <w:lang w:val="en-gb" w:eastAsia="en-gb" w:bidi="en-gb"/>
      </w:rPr>
    </w:lvl>
    <w:lvl w:ilvl="2">
      <w:start w:val="0"/>
      <w:numFmt w:val="bullet"/>
      <w:lvlText w:val="•"/>
      <w:lvlJc w:val="left"/>
      <w:pPr>
        <w:ind w:left="1760" w:hanging="360"/>
      </w:pPr>
      <w:rPr>
        <w:rFonts w:hint="default"/>
        <w:lang w:val="en-gb" w:eastAsia="en-gb" w:bidi="en-gb"/>
      </w:rPr>
    </w:lvl>
    <w:lvl w:ilvl="3">
      <w:start w:val="0"/>
      <w:numFmt w:val="bullet"/>
      <w:lvlText w:val="•"/>
      <w:lvlJc w:val="left"/>
      <w:pPr>
        <w:ind w:left="2420" w:hanging="360"/>
      </w:pPr>
      <w:rPr>
        <w:rFonts w:hint="default"/>
        <w:lang w:val="en-gb" w:eastAsia="en-gb" w:bidi="en-gb"/>
      </w:rPr>
    </w:lvl>
    <w:lvl w:ilvl="4">
      <w:start w:val="0"/>
      <w:numFmt w:val="bullet"/>
      <w:lvlText w:val="•"/>
      <w:lvlJc w:val="left"/>
      <w:pPr>
        <w:ind w:left="3080" w:hanging="360"/>
      </w:pPr>
      <w:rPr>
        <w:rFonts w:hint="default"/>
        <w:lang w:val="en-gb" w:eastAsia="en-gb" w:bidi="en-gb"/>
      </w:rPr>
    </w:lvl>
    <w:lvl w:ilvl="5">
      <w:start w:val="0"/>
      <w:numFmt w:val="bullet"/>
      <w:lvlText w:val="•"/>
      <w:lvlJc w:val="left"/>
      <w:pPr>
        <w:ind w:left="3741" w:hanging="360"/>
      </w:pPr>
      <w:rPr>
        <w:rFonts w:hint="default"/>
        <w:lang w:val="en-gb" w:eastAsia="en-gb" w:bidi="en-gb"/>
      </w:rPr>
    </w:lvl>
    <w:lvl w:ilvl="6">
      <w:start w:val="0"/>
      <w:numFmt w:val="bullet"/>
      <w:lvlText w:val="•"/>
      <w:lvlJc w:val="left"/>
      <w:pPr>
        <w:ind w:left="4401" w:hanging="360"/>
      </w:pPr>
      <w:rPr>
        <w:rFonts w:hint="default"/>
        <w:lang w:val="en-gb" w:eastAsia="en-gb" w:bidi="en-gb"/>
      </w:rPr>
    </w:lvl>
    <w:lvl w:ilvl="7">
      <w:start w:val="0"/>
      <w:numFmt w:val="bullet"/>
      <w:lvlText w:val="•"/>
      <w:lvlJc w:val="left"/>
      <w:pPr>
        <w:ind w:left="5061" w:hanging="360"/>
      </w:pPr>
      <w:rPr>
        <w:rFonts w:hint="default"/>
        <w:lang w:val="en-gb" w:eastAsia="en-gb" w:bidi="en-gb"/>
      </w:rPr>
    </w:lvl>
    <w:lvl w:ilvl="8">
      <w:start w:val="0"/>
      <w:numFmt w:val="bullet"/>
      <w:lvlText w:val="•"/>
      <w:lvlJc w:val="left"/>
      <w:pPr>
        <w:ind w:left="5721" w:hanging="360"/>
      </w:pPr>
      <w:rPr>
        <w:rFonts w:hint="default"/>
        <w:lang w:val="en-gb" w:eastAsia="en-gb" w:bidi="en-gb"/>
      </w:rPr>
    </w:lvl>
  </w:abstractNum>
  <w:abstractNum w:abstractNumId="12">
    <w:multiLevelType w:val="hybridMultilevel"/>
    <w:lvl w:ilvl="0">
      <w:start w:val="0"/>
      <w:numFmt w:val="bullet"/>
      <w:lvlText w:val="•"/>
      <w:lvlJc w:val="left"/>
      <w:pPr>
        <w:ind w:left="440"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1100" w:hanging="360"/>
      </w:pPr>
      <w:rPr>
        <w:rFonts w:hint="default"/>
        <w:lang w:val="en-gb" w:eastAsia="en-gb" w:bidi="en-gb"/>
      </w:rPr>
    </w:lvl>
    <w:lvl w:ilvl="2">
      <w:start w:val="0"/>
      <w:numFmt w:val="bullet"/>
      <w:lvlText w:val="•"/>
      <w:lvlJc w:val="left"/>
      <w:pPr>
        <w:ind w:left="1760" w:hanging="360"/>
      </w:pPr>
      <w:rPr>
        <w:rFonts w:hint="default"/>
        <w:lang w:val="en-gb" w:eastAsia="en-gb" w:bidi="en-gb"/>
      </w:rPr>
    </w:lvl>
    <w:lvl w:ilvl="3">
      <w:start w:val="0"/>
      <w:numFmt w:val="bullet"/>
      <w:lvlText w:val="•"/>
      <w:lvlJc w:val="left"/>
      <w:pPr>
        <w:ind w:left="2420" w:hanging="360"/>
      </w:pPr>
      <w:rPr>
        <w:rFonts w:hint="default"/>
        <w:lang w:val="en-gb" w:eastAsia="en-gb" w:bidi="en-gb"/>
      </w:rPr>
    </w:lvl>
    <w:lvl w:ilvl="4">
      <w:start w:val="0"/>
      <w:numFmt w:val="bullet"/>
      <w:lvlText w:val="•"/>
      <w:lvlJc w:val="left"/>
      <w:pPr>
        <w:ind w:left="3080" w:hanging="360"/>
      </w:pPr>
      <w:rPr>
        <w:rFonts w:hint="default"/>
        <w:lang w:val="en-gb" w:eastAsia="en-gb" w:bidi="en-gb"/>
      </w:rPr>
    </w:lvl>
    <w:lvl w:ilvl="5">
      <w:start w:val="0"/>
      <w:numFmt w:val="bullet"/>
      <w:lvlText w:val="•"/>
      <w:lvlJc w:val="left"/>
      <w:pPr>
        <w:ind w:left="3741" w:hanging="360"/>
      </w:pPr>
      <w:rPr>
        <w:rFonts w:hint="default"/>
        <w:lang w:val="en-gb" w:eastAsia="en-gb" w:bidi="en-gb"/>
      </w:rPr>
    </w:lvl>
    <w:lvl w:ilvl="6">
      <w:start w:val="0"/>
      <w:numFmt w:val="bullet"/>
      <w:lvlText w:val="•"/>
      <w:lvlJc w:val="left"/>
      <w:pPr>
        <w:ind w:left="4401" w:hanging="360"/>
      </w:pPr>
      <w:rPr>
        <w:rFonts w:hint="default"/>
        <w:lang w:val="en-gb" w:eastAsia="en-gb" w:bidi="en-gb"/>
      </w:rPr>
    </w:lvl>
    <w:lvl w:ilvl="7">
      <w:start w:val="0"/>
      <w:numFmt w:val="bullet"/>
      <w:lvlText w:val="•"/>
      <w:lvlJc w:val="left"/>
      <w:pPr>
        <w:ind w:left="5061" w:hanging="360"/>
      </w:pPr>
      <w:rPr>
        <w:rFonts w:hint="default"/>
        <w:lang w:val="en-gb" w:eastAsia="en-gb" w:bidi="en-gb"/>
      </w:rPr>
    </w:lvl>
    <w:lvl w:ilvl="8">
      <w:start w:val="0"/>
      <w:numFmt w:val="bullet"/>
      <w:lvlText w:val="•"/>
      <w:lvlJc w:val="left"/>
      <w:pPr>
        <w:ind w:left="5721" w:hanging="360"/>
      </w:pPr>
      <w:rPr>
        <w:rFonts w:hint="default"/>
        <w:lang w:val="en-gb" w:eastAsia="en-gb" w:bidi="en-gb"/>
      </w:rPr>
    </w:lvl>
  </w:abstractNum>
  <w:abstractNum w:abstractNumId="11">
    <w:multiLevelType w:val="hybridMultilevel"/>
    <w:lvl w:ilvl="0">
      <w:start w:val="0"/>
      <w:numFmt w:val="bullet"/>
      <w:lvlText w:val="•"/>
      <w:lvlJc w:val="left"/>
      <w:pPr>
        <w:ind w:left="440"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1100" w:hanging="360"/>
      </w:pPr>
      <w:rPr>
        <w:rFonts w:hint="default"/>
        <w:lang w:val="en-gb" w:eastAsia="en-gb" w:bidi="en-gb"/>
      </w:rPr>
    </w:lvl>
    <w:lvl w:ilvl="2">
      <w:start w:val="0"/>
      <w:numFmt w:val="bullet"/>
      <w:lvlText w:val="•"/>
      <w:lvlJc w:val="left"/>
      <w:pPr>
        <w:ind w:left="1760" w:hanging="360"/>
      </w:pPr>
      <w:rPr>
        <w:rFonts w:hint="default"/>
        <w:lang w:val="en-gb" w:eastAsia="en-gb" w:bidi="en-gb"/>
      </w:rPr>
    </w:lvl>
    <w:lvl w:ilvl="3">
      <w:start w:val="0"/>
      <w:numFmt w:val="bullet"/>
      <w:lvlText w:val="•"/>
      <w:lvlJc w:val="left"/>
      <w:pPr>
        <w:ind w:left="2420" w:hanging="360"/>
      </w:pPr>
      <w:rPr>
        <w:rFonts w:hint="default"/>
        <w:lang w:val="en-gb" w:eastAsia="en-gb" w:bidi="en-gb"/>
      </w:rPr>
    </w:lvl>
    <w:lvl w:ilvl="4">
      <w:start w:val="0"/>
      <w:numFmt w:val="bullet"/>
      <w:lvlText w:val="•"/>
      <w:lvlJc w:val="left"/>
      <w:pPr>
        <w:ind w:left="3080" w:hanging="360"/>
      </w:pPr>
      <w:rPr>
        <w:rFonts w:hint="default"/>
        <w:lang w:val="en-gb" w:eastAsia="en-gb" w:bidi="en-gb"/>
      </w:rPr>
    </w:lvl>
    <w:lvl w:ilvl="5">
      <w:start w:val="0"/>
      <w:numFmt w:val="bullet"/>
      <w:lvlText w:val="•"/>
      <w:lvlJc w:val="left"/>
      <w:pPr>
        <w:ind w:left="3741" w:hanging="360"/>
      </w:pPr>
      <w:rPr>
        <w:rFonts w:hint="default"/>
        <w:lang w:val="en-gb" w:eastAsia="en-gb" w:bidi="en-gb"/>
      </w:rPr>
    </w:lvl>
    <w:lvl w:ilvl="6">
      <w:start w:val="0"/>
      <w:numFmt w:val="bullet"/>
      <w:lvlText w:val="•"/>
      <w:lvlJc w:val="left"/>
      <w:pPr>
        <w:ind w:left="4401" w:hanging="360"/>
      </w:pPr>
      <w:rPr>
        <w:rFonts w:hint="default"/>
        <w:lang w:val="en-gb" w:eastAsia="en-gb" w:bidi="en-gb"/>
      </w:rPr>
    </w:lvl>
    <w:lvl w:ilvl="7">
      <w:start w:val="0"/>
      <w:numFmt w:val="bullet"/>
      <w:lvlText w:val="•"/>
      <w:lvlJc w:val="left"/>
      <w:pPr>
        <w:ind w:left="5061" w:hanging="360"/>
      </w:pPr>
      <w:rPr>
        <w:rFonts w:hint="default"/>
        <w:lang w:val="en-gb" w:eastAsia="en-gb" w:bidi="en-gb"/>
      </w:rPr>
    </w:lvl>
    <w:lvl w:ilvl="8">
      <w:start w:val="0"/>
      <w:numFmt w:val="bullet"/>
      <w:lvlText w:val="•"/>
      <w:lvlJc w:val="left"/>
      <w:pPr>
        <w:ind w:left="5721" w:hanging="360"/>
      </w:pPr>
      <w:rPr>
        <w:rFonts w:hint="default"/>
        <w:lang w:val="en-gb" w:eastAsia="en-gb" w:bidi="en-gb"/>
      </w:rPr>
    </w:lvl>
  </w:abstractNum>
  <w:abstractNum w:abstractNumId="10">
    <w:multiLevelType w:val="hybridMultilevel"/>
    <w:lvl w:ilvl="0">
      <w:start w:val="0"/>
      <w:numFmt w:val="bullet"/>
      <w:lvlText w:val="•"/>
      <w:lvlJc w:val="left"/>
      <w:pPr>
        <w:ind w:left="438"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1100" w:hanging="360"/>
      </w:pPr>
      <w:rPr>
        <w:rFonts w:hint="default"/>
        <w:lang w:val="en-gb" w:eastAsia="en-gb" w:bidi="en-gb"/>
      </w:rPr>
    </w:lvl>
    <w:lvl w:ilvl="2">
      <w:start w:val="0"/>
      <w:numFmt w:val="bullet"/>
      <w:lvlText w:val="•"/>
      <w:lvlJc w:val="left"/>
      <w:pPr>
        <w:ind w:left="1760" w:hanging="360"/>
      </w:pPr>
      <w:rPr>
        <w:rFonts w:hint="default"/>
        <w:lang w:val="en-gb" w:eastAsia="en-gb" w:bidi="en-gb"/>
      </w:rPr>
    </w:lvl>
    <w:lvl w:ilvl="3">
      <w:start w:val="0"/>
      <w:numFmt w:val="bullet"/>
      <w:lvlText w:val="•"/>
      <w:lvlJc w:val="left"/>
      <w:pPr>
        <w:ind w:left="2420" w:hanging="360"/>
      </w:pPr>
      <w:rPr>
        <w:rFonts w:hint="default"/>
        <w:lang w:val="en-gb" w:eastAsia="en-gb" w:bidi="en-gb"/>
      </w:rPr>
    </w:lvl>
    <w:lvl w:ilvl="4">
      <w:start w:val="0"/>
      <w:numFmt w:val="bullet"/>
      <w:lvlText w:val="•"/>
      <w:lvlJc w:val="left"/>
      <w:pPr>
        <w:ind w:left="3080" w:hanging="360"/>
      </w:pPr>
      <w:rPr>
        <w:rFonts w:hint="default"/>
        <w:lang w:val="en-gb" w:eastAsia="en-gb" w:bidi="en-gb"/>
      </w:rPr>
    </w:lvl>
    <w:lvl w:ilvl="5">
      <w:start w:val="0"/>
      <w:numFmt w:val="bullet"/>
      <w:lvlText w:val="•"/>
      <w:lvlJc w:val="left"/>
      <w:pPr>
        <w:ind w:left="3741" w:hanging="360"/>
      </w:pPr>
      <w:rPr>
        <w:rFonts w:hint="default"/>
        <w:lang w:val="en-gb" w:eastAsia="en-gb" w:bidi="en-gb"/>
      </w:rPr>
    </w:lvl>
    <w:lvl w:ilvl="6">
      <w:start w:val="0"/>
      <w:numFmt w:val="bullet"/>
      <w:lvlText w:val="•"/>
      <w:lvlJc w:val="left"/>
      <w:pPr>
        <w:ind w:left="4401" w:hanging="360"/>
      </w:pPr>
      <w:rPr>
        <w:rFonts w:hint="default"/>
        <w:lang w:val="en-gb" w:eastAsia="en-gb" w:bidi="en-gb"/>
      </w:rPr>
    </w:lvl>
    <w:lvl w:ilvl="7">
      <w:start w:val="0"/>
      <w:numFmt w:val="bullet"/>
      <w:lvlText w:val="•"/>
      <w:lvlJc w:val="left"/>
      <w:pPr>
        <w:ind w:left="5061" w:hanging="360"/>
      </w:pPr>
      <w:rPr>
        <w:rFonts w:hint="default"/>
        <w:lang w:val="en-gb" w:eastAsia="en-gb" w:bidi="en-gb"/>
      </w:rPr>
    </w:lvl>
    <w:lvl w:ilvl="8">
      <w:start w:val="0"/>
      <w:numFmt w:val="bullet"/>
      <w:lvlText w:val="•"/>
      <w:lvlJc w:val="left"/>
      <w:pPr>
        <w:ind w:left="5721" w:hanging="360"/>
      </w:pPr>
      <w:rPr>
        <w:rFonts w:hint="default"/>
        <w:lang w:val="en-gb" w:eastAsia="en-gb" w:bidi="en-gb"/>
      </w:rPr>
    </w:lvl>
  </w:abstractNum>
  <w:abstractNum w:abstractNumId="9">
    <w:multiLevelType w:val="hybridMultilevel"/>
    <w:lvl w:ilvl="0">
      <w:start w:val="0"/>
      <w:numFmt w:val="bullet"/>
      <w:lvlText w:val="•"/>
      <w:lvlJc w:val="left"/>
      <w:pPr>
        <w:ind w:left="439"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1100" w:hanging="360"/>
      </w:pPr>
      <w:rPr>
        <w:rFonts w:hint="default"/>
        <w:lang w:val="en-gb" w:eastAsia="en-gb" w:bidi="en-gb"/>
      </w:rPr>
    </w:lvl>
    <w:lvl w:ilvl="2">
      <w:start w:val="0"/>
      <w:numFmt w:val="bullet"/>
      <w:lvlText w:val="•"/>
      <w:lvlJc w:val="left"/>
      <w:pPr>
        <w:ind w:left="1760" w:hanging="360"/>
      </w:pPr>
      <w:rPr>
        <w:rFonts w:hint="default"/>
        <w:lang w:val="en-gb" w:eastAsia="en-gb" w:bidi="en-gb"/>
      </w:rPr>
    </w:lvl>
    <w:lvl w:ilvl="3">
      <w:start w:val="0"/>
      <w:numFmt w:val="bullet"/>
      <w:lvlText w:val="•"/>
      <w:lvlJc w:val="left"/>
      <w:pPr>
        <w:ind w:left="2420" w:hanging="360"/>
      </w:pPr>
      <w:rPr>
        <w:rFonts w:hint="default"/>
        <w:lang w:val="en-gb" w:eastAsia="en-gb" w:bidi="en-gb"/>
      </w:rPr>
    </w:lvl>
    <w:lvl w:ilvl="4">
      <w:start w:val="0"/>
      <w:numFmt w:val="bullet"/>
      <w:lvlText w:val="•"/>
      <w:lvlJc w:val="left"/>
      <w:pPr>
        <w:ind w:left="3080" w:hanging="360"/>
      </w:pPr>
      <w:rPr>
        <w:rFonts w:hint="default"/>
        <w:lang w:val="en-gb" w:eastAsia="en-gb" w:bidi="en-gb"/>
      </w:rPr>
    </w:lvl>
    <w:lvl w:ilvl="5">
      <w:start w:val="0"/>
      <w:numFmt w:val="bullet"/>
      <w:lvlText w:val="•"/>
      <w:lvlJc w:val="left"/>
      <w:pPr>
        <w:ind w:left="3741" w:hanging="360"/>
      </w:pPr>
      <w:rPr>
        <w:rFonts w:hint="default"/>
        <w:lang w:val="en-gb" w:eastAsia="en-gb" w:bidi="en-gb"/>
      </w:rPr>
    </w:lvl>
    <w:lvl w:ilvl="6">
      <w:start w:val="0"/>
      <w:numFmt w:val="bullet"/>
      <w:lvlText w:val="•"/>
      <w:lvlJc w:val="left"/>
      <w:pPr>
        <w:ind w:left="4401" w:hanging="360"/>
      </w:pPr>
      <w:rPr>
        <w:rFonts w:hint="default"/>
        <w:lang w:val="en-gb" w:eastAsia="en-gb" w:bidi="en-gb"/>
      </w:rPr>
    </w:lvl>
    <w:lvl w:ilvl="7">
      <w:start w:val="0"/>
      <w:numFmt w:val="bullet"/>
      <w:lvlText w:val="•"/>
      <w:lvlJc w:val="left"/>
      <w:pPr>
        <w:ind w:left="5061" w:hanging="360"/>
      </w:pPr>
      <w:rPr>
        <w:rFonts w:hint="default"/>
        <w:lang w:val="en-gb" w:eastAsia="en-gb" w:bidi="en-gb"/>
      </w:rPr>
    </w:lvl>
    <w:lvl w:ilvl="8">
      <w:start w:val="0"/>
      <w:numFmt w:val="bullet"/>
      <w:lvlText w:val="•"/>
      <w:lvlJc w:val="left"/>
      <w:pPr>
        <w:ind w:left="5721" w:hanging="360"/>
      </w:pPr>
      <w:rPr>
        <w:rFonts w:hint="default"/>
        <w:lang w:val="en-gb" w:eastAsia="en-gb" w:bidi="en-gb"/>
      </w:rPr>
    </w:lvl>
  </w:abstractNum>
  <w:abstractNum w:abstractNumId="8">
    <w:multiLevelType w:val="hybridMultilevel"/>
    <w:lvl w:ilvl="0">
      <w:start w:val="0"/>
      <w:numFmt w:val="bullet"/>
      <w:lvlText w:val="•"/>
      <w:lvlJc w:val="left"/>
      <w:pPr>
        <w:ind w:left="439" w:hanging="360"/>
      </w:pPr>
      <w:rPr>
        <w:rFonts w:hint="default" w:ascii="Arial" w:hAnsi="Arial" w:eastAsia="Arial" w:cs="Arial"/>
        <w:spacing w:val="-13"/>
        <w:w w:val="100"/>
        <w:sz w:val="22"/>
        <w:szCs w:val="22"/>
        <w:lang w:val="en-gb" w:eastAsia="en-gb" w:bidi="en-gb"/>
      </w:rPr>
    </w:lvl>
    <w:lvl w:ilvl="1">
      <w:start w:val="0"/>
      <w:numFmt w:val="bullet"/>
      <w:lvlText w:val="•"/>
      <w:lvlJc w:val="left"/>
      <w:pPr>
        <w:ind w:left="1100" w:hanging="360"/>
      </w:pPr>
      <w:rPr>
        <w:rFonts w:hint="default"/>
        <w:lang w:val="en-gb" w:eastAsia="en-gb" w:bidi="en-gb"/>
      </w:rPr>
    </w:lvl>
    <w:lvl w:ilvl="2">
      <w:start w:val="0"/>
      <w:numFmt w:val="bullet"/>
      <w:lvlText w:val="•"/>
      <w:lvlJc w:val="left"/>
      <w:pPr>
        <w:ind w:left="1760" w:hanging="360"/>
      </w:pPr>
      <w:rPr>
        <w:rFonts w:hint="default"/>
        <w:lang w:val="en-gb" w:eastAsia="en-gb" w:bidi="en-gb"/>
      </w:rPr>
    </w:lvl>
    <w:lvl w:ilvl="3">
      <w:start w:val="0"/>
      <w:numFmt w:val="bullet"/>
      <w:lvlText w:val="•"/>
      <w:lvlJc w:val="left"/>
      <w:pPr>
        <w:ind w:left="2420" w:hanging="360"/>
      </w:pPr>
      <w:rPr>
        <w:rFonts w:hint="default"/>
        <w:lang w:val="en-gb" w:eastAsia="en-gb" w:bidi="en-gb"/>
      </w:rPr>
    </w:lvl>
    <w:lvl w:ilvl="4">
      <w:start w:val="0"/>
      <w:numFmt w:val="bullet"/>
      <w:lvlText w:val="•"/>
      <w:lvlJc w:val="left"/>
      <w:pPr>
        <w:ind w:left="3080" w:hanging="360"/>
      </w:pPr>
      <w:rPr>
        <w:rFonts w:hint="default"/>
        <w:lang w:val="en-gb" w:eastAsia="en-gb" w:bidi="en-gb"/>
      </w:rPr>
    </w:lvl>
    <w:lvl w:ilvl="5">
      <w:start w:val="0"/>
      <w:numFmt w:val="bullet"/>
      <w:lvlText w:val="•"/>
      <w:lvlJc w:val="left"/>
      <w:pPr>
        <w:ind w:left="3741" w:hanging="360"/>
      </w:pPr>
      <w:rPr>
        <w:rFonts w:hint="default"/>
        <w:lang w:val="en-gb" w:eastAsia="en-gb" w:bidi="en-gb"/>
      </w:rPr>
    </w:lvl>
    <w:lvl w:ilvl="6">
      <w:start w:val="0"/>
      <w:numFmt w:val="bullet"/>
      <w:lvlText w:val="•"/>
      <w:lvlJc w:val="left"/>
      <w:pPr>
        <w:ind w:left="4401" w:hanging="360"/>
      </w:pPr>
      <w:rPr>
        <w:rFonts w:hint="default"/>
        <w:lang w:val="en-gb" w:eastAsia="en-gb" w:bidi="en-gb"/>
      </w:rPr>
    </w:lvl>
    <w:lvl w:ilvl="7">
      <w:start w:val="0"/>
      <w:numFmt w:val="bullet"/>
      <w:lvlText w:val="•"/>
      <w:lvlJc w:val="left"/>
      <w:pPr>
        <w:ind w:left="5061" w:hanging="360"/>
      </w:pPr>
      <w:rPr>
        <w:rFonts w:hint="default"/>
        <w:lang w:val="en-gb" w:eastAsia="en-gb" w:bidi="en-gb"/>
      </w:rPr>
    </w:lvl>
    <w:lvl w:ilvl="8">
      <w:start w:val="0"/>
      <w:numFmt w:val="bullet"/>
      <w:lvlText w:val="•"/>
      <w:lvlJc w:val="left"/>
      <w:pPr>
        <w:ind w:left="5721" w:hanging="360"/>
      </w:pPr>
      <w:rPr>
        <w:rFonts w:hint="default"/>
        <w:lang w:val="en-gb" w:eastAsia="en-gb" w:bidi="en-gb"/>
      </w:rPr>
    </w:lvl>
  </w:abstractNum>
  <w:abstractNum w:abstractNumId="7">
    <w:multiLevelType w:val="hybridMultilevel"/>
    <w:lvl w:ilvl="0">
      <w:start w:val="0"/>
      <w:numFmt w:val="bullet"/>
      <w:lvlText w:val="•"/>
      <w:lvlJc w:val="left"/>
      <w:pPr>
        <w:ind w:left="439"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1100" w:hanging="360"/>
      </w:pPr>
      <w:rPr>
        <w:rFonts w:hint="default"/>
        <w:lang w:val="en-gb" w:eastAsia="en-gb" w:bidi="en-gb"/>
      </w:rPr>
    </w:lvl>
    <w:lvl w:ilvl="2">
      <w:start w:val="0"/>
      <w:numFmt w:val="bullet"/>
      <w:lvlText w:val="•"/>
      <w:lvlJc w:val="left"/>
      <w:pPr>
        <w:ind w:left="1760" w:hanging="360"/>
      </w:pPr>
      <w:rPr>
        <w:rFonts w:hint="default"/>
        <w:lang w:val="en-gb" w:eastAsia="en-gb" w:bidi="en-gb"/>
      </w:rPr>
    </w:lvl>
    <w:lvl w:ilvl="3">
      <w:start w:val="0"/>
      <w:numFmt w:val="bullet"/>
      <w:lvlText w:val="•"/>
      <w:lvlJc w:val="left"/>
      <w:pPr>
        <w:ind w:left="2420" w:hanging="360"/>
      </w:pPr>
      <w:rPr>
        <w:rFonts w:hint="default"/>
        <w:lang w:val="en-gb" w:eastAsia="en-gb" w:bidi="en-gb"/>
      </w:rPr>
    </w:lvl>
    <w:lvl w:ilvl="4">
      <w:start w:val="0"/>
      <w:numFmt w:val="bullet"/>
      <w:lvlText w:val="•"/>
      <w:lvlJc w:val="left"/>
      <w:pPr>
        <w:ind w:left="3080" w:hanging="360"/>
      </w:pPr>
      <w:rPr>
        <w:rFonts w:hint="default"/>
        <w:lang w:val="en-gb" w:eastAsia="en-gb" w:bidi="en-gb"/>
      </w:rPr>
    </w:lvl>
    <w:lvl w:ilvl="5">
      <w:start w:val="0"/>
      <w:numFmt w:val="bullet"/>
      <w:lvlText w:val="•"/>
      <w:lvlJc w:val="left"/>
      <w:pPr>
        <w:ind w:left="3741" w:hanging="360"/>
      </w:pPr>
      <w:rPr>
        <w:rFonts w:hint="default"/>
        <w:lang w:val="en-gb" w:eastAsia="en-gb" w:bidi="en-gb"/>
      </w:rPr>
    </w:lvl>
    <w:lvl w:ilvl="6">
      <w:start w:val="0"/>
      <w:numFmt w:val="bullet"/>
      <w:lvlText w:val="•"/>
      <w:lvlJc w:val="left"/>
      <w:pPr>
        <w:ind w:left="4401" w:hanging="360"/>
      </w:pPr>
      <w:rPr>
        <w:rFonts w:hint="default"/>
        <w:lang w:val="en-gb" w:eastAsia="en-gb" w:bidi="en-gb"/>
      </w:rPr>
    </w:lvl>
    <w:lvl w:ilvl="7">
      <w:start w:val="0"/>
      <w:numFmt w:val="bullet"/>
      <w:lvlText w:val="•"/>
      <w:lvlJc w:val="left"/>
      <w:pPr>
        <w:ind w:left="5061" w:hanging="360"/>
      </w:pPr>
      <w:rPr>
        <w:rFonts w:hint="default"/>
        <w:lang w:val="en-gb" w:eastAsia="en-gb" w:bidi="en-gb"/>
      </w:rPr>
    </w:lvl>
    <w:lvl w:ilvl="8">
      <w:start w:val="0"/>
      <w:numFmt w:val="bullet"/>
      <w:lvlText w:val="•"/>
      <w:lvlJc w:val="left"/>
      <w:pPr>
        <w:ind w:left="5721" w:hanging="360"/>
      </w:pPr>
      <w:rPr>
        <w:rFonts w:hint="default"/>
        <w:lang w:val="en-gb" w:eastAsia="en-gb" w:bidi="en-gb"/>
      </w:rPr>
    </w:lvl>
  </w:abstractNum>
  <w:abstractNum w:abstractNumId="6">
    <w:multiLevelType w:val="hybridMultilevel"/>
    <w:lvl w:ilvl="0">
      <w:start w:val="0"/>
      <w:numFmt w:val="bullet"/>
      <w:lvlText w:val="•"/>
      <w:lvlJc w:val="left"/>
      <w:pPr>
        <w:ind w:left="439"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1100" w:hanging="360"/>
      </w:pPr>
      <w:rPr>
        <w:rFonts w:hint="default"/>
        <w:lang w:val="en-gb" w:eastAsia="en-gb" w:bidi="en-gb"/>
      </w:rPr>
    </w:lvl>
    <w:lvl w:ilvl="2">
      <w:start w:val="0"/>
      <w:numFmt w:val="bullet"/>
      <w:lvlText w:val="•"/>
      <w:lvlJc w:val="left"/>
      <w:pPr>
        <w:ind w:left="1760" w:hanging="360"/>
      </w:pPr>
      <w:rPr>
        <w:rFonts w:hint="default"/>
        <w:lang w:val="en-gb" w:eastAsia="en-gb" w:bidi="en-gb"/>
      </w:rPr>
    </w:lvl>
    <w:lvl w:ilvl="3">
      <w:start w:val="0"/>
      <w:numFmt w:val="bullet"/>
      <w:lvlText w:val="•"/>
      <w:lvlJc w:val="left"/>
      <w:pPr>
        <w:ind w:left="2420" w:hanging="360"/>
      </w:pPr>
      <w:rPr>
        <w:rFonts w:hint="default"/>
        <w:lang w:val="en-gb" w:eastAsia="en-gb" w:bidi="en-gb"/>
      </w:rPr>
    </w:lvl>
    <w:lvl w:ilvl="4">
      <w:start w:val="0"/>
      <w:numFmt w:val="bullet"/>
      <w:lvlText w:val="•"/>
      <w:lvlJc w:val="left"/>
      <w:pPr>
        <w:ind w:left="3080" w:hanging="360"/>
      </w:pPr>
      <w:rPr>
        <w:rFonts w:hint="default"/>
        <w:lang w:val="en-gb" w:eastAsia="en-gb" w:bidi="en-gb"/>
      </w:rPr>
    </w:lvl>
    <w:lvl w:ilvl="5">
      <w:start w:val="0"/>
      <w:numFmt w:val="bullet"/>
      <w:lvlText w:val="•"/>
      <w:lvlJc w:val="left"/>
      <w:pPr>
        <w:ind w:left="3741" w:hanging="360"/>
      </w:pPr>
      <w:rPr>
        <w:rFonts w:hint="default"/>
        <w:lang w:val="en-gb" w:eastAsia="en-gb" w:bidi="en-gb"/>
      </w:rPr>
    </w:lvl>
    <w:lvl w:ilvl="6">
      <w:start w:val="0"/>
      <w:numFmt w:val="bullet"/>
      <w:lvlText w:val="•"/>
      <w:lvlJc w:val="left"/>
      <w:pPr>
        <w:ind w:left="4401" w:hanging="360"/>
      </w:pPr>
      <w:rPr>
        <w:rFonts w:hint="default"/>
        <w:lang w:val="en-gb" w:eastAsia="en-gb" w:bidi="en-gb"/>
      </w:rPr>
    </w:lvl>
    <w:lvl w:ilvl="7">
      <w:start w:val="0"/>
      <w:numFmt w:val="bullet"/>
      <w:lvlText w:val="•"/>
      <w:lvlJc w:val="left"/>
      <w:pPr>
        <w:ind w:left="5061" w:hanging="360"/>
      </w:pPr>
      <w:rPr>
        <w:rFonts w:hint="default"/>
        <w:lang w:val="en-gb" w:eastAsia="en-gb" w:bidi="en-gb"/>
      </w:rPr>
    </w:lvl>
    <w:lvl w:ilvl="8">
      <w:start w:val="0"/>
      <w:numFmt w:val="bullet"/>
      <w:lvlText w:val="•"/>
      <w:lvlJc w:val="left"/>
      <w:pPr>
        <w:ind w:left="5721" w:hanging="360"/>
      </w:pPr>
      <w:rPr>
        <w:rFonts w:hint="default"/>
        <w:lang w:val="en-gb" w:eastAsia="en-gb" w:bidi="en-gb"/>
      </w:rPr>
    </w:lvl>
  </w:abstractNum>
  <w:abstractNum w:abstractNumId="5">
    <w:multiLevelType w:val="hybridMultilevel"/>
    <w:lvl w:ilvl="0">
      <w:start w:val="0"/>
      <w:numFmt w:val="bullet"/>
      <w:lvlText w:val="•"/>
      <w:lvlJc w:val="left"/>
      <w:pPr>
        <w:ind w:left="440"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1100" w:hanging="360"/>
      </w:pPr>
      <w:rPr>
        <w:rFonts w:hint="default"/>
        <w:lang w:val="en-gb" w:eastAsia="en-gb" w:bidi="en-gb"/>
      </w:rPr>
    </w:lvl>
    <w:lvl w:ilvl="2">
      <w:start w:val="0"/>
      <w:numFmt w:val="bullet"/>
      <w:lvlText w:val="•"/>
      <w:lvlJc w:val="left"/>
      <w:pPr>
        <w:ind w:left="1760" w:hanging="360"/>
      </w:pPr>
      <w:rPr>
        <w:rFonts w:hint="default"/>
        <w:lang w:val="en-gb" w:eastAsia="en-gb" w:bidi="en-gb"/>
      </w:rPr>
    </w:lvl>
    <w:lvl w:ilvl="3">
      <w:start w:val="0"/>
      <w:numFmt w:val="bullet"/>
      <w:lvlText w:val="•"/>
      <w:lvlJc w:val="left"/>
      <w:pPr>
        <w:ind w:left="2420" w:hanging="360"/>
      </w:pPr>
      <w:rPr>
        <w:rFonts w:hint="default"/>
        <w:lang w:val="en-gb" w:eastAsia="en-gb" w:bidi="en-gb"/>
      </w:rPr>
    </w:lvl>
    <w:lvl w:ilvl="4">
      <w:start w:val="0"/>
      <w:numFmt w:val="bullet"/>
      <w:lvlText w:val="•"/>
      <w:lvlJc w:val="left"/>
      <w:pPr>
        <w:ind w:left="3080" w:hanging="360"/>
      </w:pPr>
      <w:rPr>
        <w:rFonts w:hint="default"/>
        <w:lang w:val="en-gb" w:eastAsia="en-gb" w:bidi="en-gb"/>
      </w:rPr>
    </w:lvl>
    <w:lvl w:ilvl="5">
      <w:start w:val="0"/>
      <w:numFmt w:val="bullet"/>
      <w:lvlText w:val="•"/>
      <w:lvlJc w:val="left"/>
      <w:pPr>
        <w:ind w:left="3741" w:hanging="360"/>
      </w:pPr>
      <w:rPr>
        <w:rFonts w:hint="default"/>
        <w:lang w:val="en-gb" w:eastAsia="en-gb" w:bidi="en-gb"/>
      </w:rPr>
    </w:lvl>
    <w:lvl w:ilvl="6">
      <w:start w:val="0"/>
      <w:numFmt w:val="bullet"/>
      <w:lvlText w:val="•"/>
      <w:lvlJc w:val="left"/>
      <w:pPr>
        <w:ind w:left="4401" w:hanging="360"/>
      </w:pPr>
      <w:rPr>
        <w:rFonts w:hint="default"/>
        <w:lang w:val="en-gb" w:eastAsia="en-gb" w:bidi="en-gb"/>
      </w:rPr>
    </w:lvl>
    <w:lvl w:ilvl="7">
      <w:start w:val="0"/>
      <w:numFmt w:val="bullet"/>
      <w:lvlText w:val="•"/>
      <w:lvlJc w:val="left"/>
      <w:pPr>
        <w:ind w:left="5061" w:hanging="360"/>
      </w:pPr>
      <w:rPr>
        <w:rFonts w:hint="default"/>
        <w:lang w:val="en-gb" w:eastAsia="en-gb" w:bidi="en-gb"/>
      </w:rPr>
    </w:lvl>
    <w:lvl w:ilvl="8">
      <w:start w:val="0"/>
      <w:numFmt w:val="bullet"/>
      <w:lvlText w:val="•"/>
      <w:lvlJc w:val="left"/>
      <w:pPr>
        <w:ind w:left="5721" w:hanging="360"/>
      </w:pPr>
      <w:rPr>
        <w:rFonts w:hint="default"/>
        <w:lang w:val="en-gb" w:eastAsia="en-gb" w:bidi="en-gb"/>
      </w:rPr>
    </w:lvl>
  </w:abstractNum>
  <w:abstractNum w:abstractNumId="4">
    <w:multiLevelType w:val="hybridMultilevel"/>
    <w:lvl w:ilvl="0">
      <w:start w:val="0"/>
      <w:numFmt w:val="bullet"/>
      <w:lvlText w:val="•"/>
      <w:lvlJc w:val="left"/>
      <w:pPr>
        <w:ind w:left="440" w:hanging="360"/>
      </w:pPr>
      <w:rPr>
        <w:rFonts w:hint="default" w:ascii="Arial" w:hAnsi="Arial" w:eastAsia="Arial" w:cs="Arial"/>
        <w:spacing w:val="-1"/>
        <w:w w:val="100"/>
        <w:sz w:val="22"/>
        <w:szCs w:val="22"/>
        <w:lang w:val="en-gb" w:eastAsia="en-gb" w:bidi="en-gb"/>
      </w:rPr>
    </w:lvl>
    <w:lvl w:ilvl="1">
      <w:start w:val="0"/>
      <w:numFmt w:val="bullet"/>
      <w:lvlText w:val="•"/>
      <w:lvlJc w:val="left"/>
      <w:pPr>
        <w:ind w:left="1100" w:hanging="360"/>
      </w:pPr>
      <w:rPr>
        <w:rFonts w:hint="default"/>
        <w:lang w:val="en-gb" w:eastAsia="en-gb" w:bidi="en-gb"/>
      </w:rPr>
    </w:lvl>
    <w:lvl w:ilvl="2">
      <w:start w:val="0"/>
      <w:numFmt w:val="bullet"/>
      <w:lvlText w:val="•"/>
      <w:lvlJc w:val="left"/>
      <w:pPr>
        <w:ind w:left="1760" w:hanging="360"/>
      </w:pPr>
      <w:rPr>
        <w:rFonts w:hint="default"/>
        <w:lang w:val="en-gb" w:eastAsia="en-gb" w:bidi="en-gb"/>
      </w:rPr>
    </w:lvl>
    <w:lvl w:ilvl="3">
      <w:start w:val="0"/>
      <w:numFmt w:val="bullet"/>
      <w:lvlText w:val="•"/>
      <w:lvlJc w:val="left"/>
      <w:pPr>
        <w:ind w:left="2420" w:hanging="360"/>
      </w:pPr>
      <w:rPr>
        <w:rFonts w:hint="default"/>
        <w:lang w:val="en-gb" w:eastAsia="en-gb" w:bidi="en-gb"/>
      </w:rPr>
    </w:lvl>
    <w:lvl w:ilvl="4">
      <w:start w:val="0"/>
      <w:numFmt w:val="bullet"/>
      <w:lvlText w:val="•"/>
      <w:lvlJc w:val="left"/>
      <w:pPr>
        <w:ind w:left="3080" w:hanging="360"/>
      </w:pPr>
      <w:rPr>
        <w:rFonts w:hint="default"/>
        <w:lang w:val="en-gb" w:eastAsia="en-gb" w:bidi="en-gb"/>
      </w:rPr>
    </w:lvl>
    <w:lvl w:ilvl="5">
      <w:start w:val="0"/>
      <w:numFmt w:val="bullet"/>
      <w:lvlText w:val="•"/>
      <w:lvlJc w:val="left"/>
      <w:pPr>
        <w:ind w:left="3741" w:hanging="360"/>
      </w:pPr>
      <w:rPr>
        <w:rFonts w:hint="default"/>
        <w:lang w:val="en-gb" w:eastAsia="en-gb" w:bidi="en-gb"/>
      </w:rPr>
    </w:lvl>
    <w:lvl w:ilvl="6">
      <w:start w:val="0"/>
      <w:numFmt w:val="bullet"/>
      <w:lvlText w:val="•"/>
      <w:lvlJc w:val="left"/>
      <w:pPr>
        <w:ind w:left="4401" w:hanging="360"/>
      </w:pPr>
      <w:rPr>
        <w:rFonts w:hint="default"/>
        <w:lang w:val="en-gb" w:eastAsia="en-gb" w:bidi="en-gb"/>
      </w:rPr>
    </w:lvl>
    <w:lvl w:ilvl="7">
      <w:start w:val="0"/>
      <w:numFmt w:val="bullet"/>
      <w:lvlText w:val="•"/>
      <w:lvlJc w:val="left"/>
      <w:pPr>
        <w:ind w:left="5061" w:hanging="360"/>
      </w:pPr>
      <w:rPr>
        <w:rFonts w:hint="default"/>
        <w:lang w:val="en-gb" w:eastAsia="en-gb" w:bidi="en-gb"/>
      </w:rPr>
    </w:lvl>
    <w:lvl w:ilvl="8">
      <w:start w:val="0"/>
      <w:numFmt w:val="bullet"/>
      <w:lvlText w:val="•"/>
      <w:lvlJc w:val="left"/>
      <w:pPr>
        <w:ind w:left="5721" w:hanging="360"/>
      </w:pPr>
      <w:rPr>
        <w:rFonts w:hint="default"/>
        <w:lang w:val="en-gb" w:eastAsia="en-gb" w:bidi="en-gb"/>
      </w:rPr>
    </w:lvl>
  </w:abstractNum>
  <w:abstractNum w:abstractNumId="3">
    <w:multiLevelType w:val="hybridMultilevel"/>
    <w:lvl w:ilvl="0">
      <w:start w:val="4"/>
      <w:numFmt w:val="decimal"/>
      <w:lvlText w:val="%1"/>
      <w:lvlJc w:val="left"/>
      <w:pPr>
        <w:ind w:left="833" w:hanging="721"/>
        <w:jc w:val="left"/>
      </w:pPr>
      <w:rPr>
        <w:rFonts w:hint="default"/>
        <w:lang w:val="en-gb" w:eastAsia="en-gb" w:bidi="en-gb"/>
      </w:rPr>
    </w:lvl>
    <w:lvl w:ilvl="1">
      <w:start w:val="0"/>
      <w:numFmt w:val="decimal"/>
      <w:lvlText w:val="%1.%2"/>
      <w:lvlJc w:val="left"/>
      <w:pPr>
        <w:ind w:left="833" w:hanging="721"/>
        <w:jc w:val="right"/>
      </w:pPr>
      <w:rPr>
        <w:rFonts w:hint="default"/>
        <w:b/>
        <w:bCs/>
        <w:spacing w:val="-6"/>
        <w:w w:val="100"/>
        <w:lang w:val="en-gb" w:eastAsia="en-gb" w:bidi="en-gb"/>
      </w:rPr>
    </w:lvl>
    <w:lvl w:ilvl="2">
      <w:start w:val="0"/>
      <w:numFmt w:val="bullet"/>
      <w:lvlText w:val="•"/>
      <w:lvlJc w:val="left"/>
      <w:pPr>
        <w:ind w:left="2645" w:hanging="721"/>
      </w:pPr>
      <w:rPr>
        <w:rFonts w:hint="default"/>
        <w:lang w:val="en-gb" w:eastAsia="en-gb" w:bidi="en-gb"/>
      </w:rPr>
    </w:lvl>
    <w:lvl w:ilvl="3">
      <w:start w:val="0"/>
      <w:numFmt w:val="bullet"/>
      <w:lvlText w:val="•"/>
      <w:lvlJc w:val="left"/>
      <w:pPr>
        <w:ind w:left="3547" w:hanging="721"/>
      </w:pPr>
      <w:rPr>
        <w:rFonts w:hint="default"/>
        <w:lang w:val="en-gb" w:eastAsia="en-gb" w:bidi="en-gb"/>
      </w:rPr>
    </w:lvl>
    <w:lvl w:ilvl="4">
      <w:start w:val="0"/>
      <w:numFmt w:val="bullet"/>
      <w:lvlText w:val="•"/>
      <w:lvlJc w:val="left"/>
      <w:pPr>
        <w:ind w:left="4450" w:hanging="721"/>
      </w:pPr>
      <w:rPr>
        <w:rFonts w:hint="default"/>
        <w:lang w:val="en-gb" w:eastAsia="en-gb" w:bidi="en-gb"/>
      </w:rPr>
    </w:lvl>
    <w:lvl w:ilvl="5">
      <w:start w:val="0"/>
      <w:numFmt w:val="bullet"/>
      <w:lvlText w:val="•"/>
      <w:lvlJc w:val="left"/>
      <w:pPr>
        <w:ind w:left="5352" w:hanging="721"/>
      </w:pPr>
      <w:rPr>
        <w:rFonts w:hint="default"/>
        <w:lang w:val="en-gb" w:eastAsia="en-gb" w:bidi="en-gb"/>
      </w:rPr>
    </w:lvl>
    <w:lvl w:ilvl="6">
      <w:start w:val="0"/>
      <w:numFmt w:val="bullet"/>
      <w:lvlText w:val="•"/>
      <w:lvlJc w:val="left"/>
      <w:pPr>
        <w:ind w:left="6255" w:hanging="721"/>
      </w:pPr>
      <w:rPr>
        <w:rFonts w:hint="default"/>
        <w:lang w:val="en-gb" w:eastAsia="en-gb" w:bidi="en-gb"/>
      </w:rPr>
    </w:lvl>
    <w:lvl w:ilvl="7">
      <w:start w:val="0"/>
      <w:numFmt w:val="bullet"/>
      <w:lvlText w:val="•"/>
      <w:lvlJc w:val="left"/>
      <w:pPr>
        <w:ind w:left="7157" w:hanging="721"/>
      </w:pPr>
      <w:rPr>
        <w:rFonts w:hint="default"/>
        <w:lang w:val="en-gb" w:eastAsia="en-gb" w:bidi="en-gb"/>
      </w:rPr>
    </w:lvl>
    <w:lvl w:ilvl="8">
      <w:start w:val="0"/>
      <w:numFmt w:val="bullet"/>
      <w:lvlText w:val="•"/>
      <w:lvlJc w:val="left"/>
      <w:pPr>
        <w:ind w:left="8060" w:hanging="721"/>
      </w:pPr>
      <w:rPr>
        <w:rFonts w:hint="default"/>
        <w:lang w:val="en-gb" w:eastAsia="en-gb" w:bidi="en-gb"/>
      </w:rPr>
    </w:lvl>
  </w:abstractNum>
  <w:abstractNum w:abstractNumId="2">
    <w:multiLevelType w:val="hybridMultilevel"/>
    <w:lvl w:ilvl="0">
      <w:start w:val="3"/>
      <w:numFmt w:val="decimal"/>
      <w:lvlText w:val="%1"/>
      <w:lvlJc w:val="left"/>
      <w:pPr>
        <w:ind w:left="887" w:hanging="774"/>
        <w:jc w:val="left"/>
      </w:pPr>
      <w:rPr>
        <w:rFonts w:hint="default"/>
        <w:lang w:val="en-gb" w:eastAsia="en-gb" w:bidi="en-gb"/>
      </w:rPr>
    </w:lvl>
    <w:lvl w:ilvl="1">
      <w:start w:val="0"/>
      <w:numFmt w:val="decimal"/>
      <w:lvlText w:val="%1.%2"/>
      <w:lvlJc w:val="left"/>
      <w:pPr>
        <w:ind w:left="887" w:hanging="774"/>
        <w:jc w:val="right"/>
      </w:pPr>
      <w:rPr>
        <w:rFonts w:hint="default"/>
        <w:b/>
        <w:bCs/>
        <w:spacing w:val="-6"/>
        <w:w w:val="100"/>
        <w:lang w:val="en-gb" w:eastAsia="en-gb" w:bidi="en-gb"/>
      </w:rPr>
    </w:lvl>
    <w:lvl w:ilvl="2">
      <w:start w:val="0"/>
      <w:numFmt w:val="bullet"/>
      <w:lvlText w:val="•"/>
      <w:lvlJc w:val="left"/>
      <w:pPr>
        <w:ind w:left="2677" w:hanging="774"/>
      </w:pPr>
      <w:rPr>
        <w:rFonts w:hint="default"/>
        <w:lang w:val="en-gb" w:eastAsia="en-gb" w:bidi="en-gb"/>
      </w:rPr>
    </w:lvl>
    <w:lvl w:ilvl="3">
      <w:start w:val="0"/>
      <w:numFmt w:val="bullet"/>
      <w:lvlText w:val="•"/>
      <w:lvlJc w:val="left"/>
      <w:pPr>
        <w:ind w:left="3575" w:hanging="774"/>
      </w:pPr>
      <w:rPr>
        <w:rFonts w:hint="default"/>
        <w:lang w:val="en-gb" w:eastAsia="en-gb" w:bidi="en-gb"/>
      </w:rPr>
    </w:lvl>
    <w:lvl w:ilvl="4">
      <w:start w:val="0"/>
      <w:numFmt w:val="bullet"/>
      <w:lvlText w:val="•"/>
      <w:lvlJc w:val="left"/>
      <w:pPr>
        <w:ind w:left="4474" w:hanging="774"/>
      </w:pPr>
      <w:rPr>
        <w:rFonts w:hint="default"/>
        <w:lang w:val="en-gb" w:eastAsia="en-gb" w:bidi="en-gb"/>
      </w:rPr>
    </w:lvl>
    <w:lvl w:ilvl="5">
      <w:start w:val="0"/>
      <w:numFmt w:val="bullet"/>
      <w:lvlText w:val="•"/>
      <w:lvlJc w:val="left"/>
      <w:pPr>
        <w:ind w:left="5372" w:hanging="774"/>
      </w:pPr>
      <w:rPr>
        <w:rFonts w:hint="default"/>
        <w:lang w:val="en-gb" w:eastAsia="en-gb" w:bidi="en-gb"/>
      </w:rPr>
    </w:lvl>
    <w:lvl w:ilvl="6">
      <w:start w:val="0"/>
      <w:numFmt w:val="bullet"/>
      <w:lvlText w:val="•"/>
      <w:lvlJc w:val="left"/>
      <w:pPr>
        <w:ind w:left="6271" w:hanging="774"/>
      </w:pPr>
      <w:rPr>
        <w:rFonts w:hint="default"/>
        <w:lang w:val="en-gb" w:eastAsia="en-gb" w:bidi="en-gb"/>
      </w:rPr>
    </w:lvl>
    <w:lvl w:ilvl="7">
      <w:start w:val="0"/>
      <w:numFmt w:val="bullet"/>
      <w:lvlText w:val="•"/>
      <w:lvlJc w:val="left"/>
      <w:pPr>
        <w:ind w:left="7169" w:hanging="774"/>
      </w:pPr>
      <w:rPr>
        <w:rFonts w:hint="default"/>
        <w:lang w:val="en-gb" w:eastAsia="en-gb" w:bidi="en-gb"/>
      </w:rPr>
    </w:lvl>
    <w:lvl w:ilvl="8">
      <w:start w:val="0"/>
      <w:numFmt w:val="bullet"/>
      <w:lvlText w:val="•"/>
      <w:lvlJc w:val="left"/>
      <w:pPr>
        <w:ind w:left="8068" w:hanging="774"/>
      </w:pPr>
      <w:rPr>
        <w:rFonts w:hint="default"/>
        <w:lang w:val="en-gb" w:eastAsia="en-gb" w:bidi="en-gb"/>
      </w:rPr>
    </w:lvl>
  </w:abstractNum>
  <w:abstractNum w:abstractNumId="1">
    <w:multiLevelType w:val="hybridMultilevel"/>
    <w:lvl w:ilvl="0">
      <w:start w:val="2"/>
      <w:numFmt w:val="decimal"/>
      <w:lvlText w:val="%1"/>
      <w:lvlJc w:val="left"/>
      <w:pPr>
        <w:ind w:left="887" w:hanging="774"/>
        <w:jc w:val="left"/>
      </w:pPr>
      <w:rPr>
        <w:rFonts w:hint="default"/>
        <w:lang w:val="en-gb" w:eastAsia="en-gb" w:bidi="en-gb"/>
      </w:rPr>
    </w:lvl>
    <w:lvl w:ilvl="1">
      <w:start w:val="0"/>
      <w:numFmt w:val="decimal"/>
      <w:lvlText w:val="%1.%2"/>
      <w:lvlJc w:val="left"/>
      <w:pPr>
        <w:ind w:left="887" w:hanging="774"/>
        <w:jc w:val="right"/>
      </w:pPr>
      <w:rPr>
        <w:rFonts w:hint="default"/>
        <w:b/>
        <w:bCs/>
        <w:spacing w:val="-14"/>
        <w:w w:val="100"/>
        <w:lang w:val="en-gb" w:eastAsia="en-gb" w:bidi="en-gb"/>
      </w:rPr>
    </w:lvl>
    <w:lvl w:ilvl="2">
      <w:start w:val="0"/>
      <w:numFmt w:val="bullet"/>
      <w:lvlText w:val="•"/>
      <w:lvlJc w:val="left"/>
      <w:pPr>
        <w:ind w:left="2677" w:hanging="774"/>
      </w:pPr>
      <w:rPr>
        <w:rFonts w:hint="default"/>
        <w:lang w:val="en-gb" w:eastAsia="en-gb" w:bidi="en-gb"/>
      </w:rPr>
    </w:lvl>
    <w:lvl w:ilvl="3">
      <w:start w:val="0"/>
      <w:numFmt w:val="bullet"/>
      <w:lvlText w:val="•"/>
      <w:lvlJc w:val="left"/>
      <w:pPr>
        <w:ind w:left="3575" w:hanging="774"/>
      </w:pPr>
      <w:rPr>
        <w:rFonts w:hint="default"/>
        <w:lang w:val="en-gb" w:eastAsia="en-gb" w:bidi="en-gb"/>
      </w:rPr>
    </w:lvl>
    <w:lvl w:ilvl="4">
      <w:start w:val="0"/>
      <w:numFmt w:val="bullet"/>
      <w:lvlText w:val="•"/>
      <w:lvlJc w:val="left"/>
      <w:pPr>
        <w:ind w:left="4474" w:hanging="774"/>
      </w:pPr>
      <w:rPr>
        <w:rFonts w:hint="default"/>
        <w:lang w:val="en-gb" w:eastAsia="en-gb" w:bidi="en-gb"/>
      </w:rPr>
    </w:lvl>
    <w:lvl w:ilvl="5">
      <w:start w:val="0"/>
      <w:numFmt w:val="bullet"/>
      <w:lvlText w:val="•"/>
      <w:lvlJc w:val="left"/>
      <w:pPr>
        <w:ind w:left="5372" w:hanging="774"/>
      </w:pPr>
      <w:rPr>
        <w:rFonts w:hint="default"/>
        <w:lang w:val="en-gb" w:eastAsia="en-gb" w:bidi="en-gb"/>
      </w:rPr>
    </w:lvl>
    <w:lvl w:ilvl="6">
      <w:start w:val="0"/>
      <w:numFmt w:val="bullet"/>
      <w:lvlText w:val="•"/>
      <w:lvlJc w:val="left"/>
      <w:pPr>
        <w:ind w:left="6271" w:hanging="774"/>
      </w:pPr>
      <w:rPr>
        <w:rFonts w:hint="default"/>
        <w:lang w:val="en-gb" w:eastAsia="en-gb" w:bidi="en-gb"/>
      </w:rPr>
    </w:lvl>
    <w:lvl w:ilvl="7">
      <w:start w:val="0"/>
      <w:numFmt w:val="bullet"/>
      <w:lvlText w:val="•"/>
      <w:lvlJc w:val="left"/>
      <w:pPr>
        <w:ind w:left="7169" w:hanging="774"/>
      </w:pPr>
      <w:rPr>
        <w:rFonts w:hint="default"/>
        <w:lang w:val="en-gb" w:eastAsia="en-gb" w:bidi="en-gb"/>
      </w:rPr>
    </w:lvl>
    <w:lvl w:ilvl="8">
      <w:start w:val="0"/>
      <w:numFmt w:val="bullet"/>
      <w:lvlText w:val="•"/>
      <w:lvlJc w:val="left"/>
      <w:pPr>
        <w:ind w:left="8068" w:hanging="774"/>
      </w:pPr>
      <w:rPr>
        <w:rFonts w:hint="default"/>
        <w:lang w:val="en-gb" w:eastAsia="en-gb" w:bidi="en-gb"/>
      </w:rPr>
    </w:lvl>
  </w:abstractNum>
  <w:abstractNum w:abstractNumId="0">
    <w:multiLevelType w:val="hybridMultilevel"/>
    <w:lvl w:ilvl="0">
      <w:start w:val="1"/>
      <w:numFmt w:val="decimal"/>
      <w:lvlText w:val="%1"/>
      <w:lvlJc w:val="left"/>
      <w:pPr>
        <w:ind w:left="833" w:hanging="721"/>
        <w:jc w:val="left"/>
      </w:pPr>
      <w:rPr>
        <w:rFonts w:hint="default"/>
        <w:lang w:val="en-gb" w:eastAsia="en-gb" w:bidi="en-gb"/>
      </w:rPr>
    </w:lvl>
    <w:lvl w:ilvl="1">
      <w:start w:val="0"/>
      <w:numFmt w:val="decimal"/>
      <w:lvlText w:val="%1.%2"/>
      <w:lvlJc w:val="left"/>
      <w:pPr>
        <w:ind w:left="833" w:hanging="721"/>
        <w:jc w:val="right"/>
      </w:pPr>
      <w:rPr>
        <w:rFonts w:hint="default"/>
        <w:b/>
        <w:bCs/>
        <w:spacing w:val="-7"/>
        <w:w w:val="100"/>
        <w:lang w:val="en-gb" w:eastAsia="en-gb" w:bidi="en-gb"/>
      </w:rPr>
    </w:lvl>
    <w:lvl w:ilvl="2">
      <w:start w:val="0"/>
      <w:numFmt w:val="bullet"/>
      <w:lvlText w:val="•"/>
      <w:lvlJc w:val="left"/>
      <w:pPr>
        <w:ind w:left="2645" w:hanging="721"/>
      </w:pPr>
      <w:rPr>
        <w:rFonts w:hint="default"/>
        <w:lang w:val="en-gb" w:eastAsia="en-gb" w:bidi="en-gb"/>
      </w:rPr>
    </w:lvl>
    <w:lvl w:ilvl="3">
      <w:start w:val="0"/>
      <w:numFmt w:val="bullet"/>
      <w:lvlText w:val="•"/>
      <w:lvlJc w:val="left"/>
      <w:pPr>
        <w:ind w:left="3547" w:hanging="721"/>
      </w:pPr>
      <w:rPr>
        <w:rFonts w:hint="default"/>
        <w:lang w:val="en-gb" w:eastAsia="en-gb" w:bidi="en-gb"/>
      </w:rPr>
    </w:lvl>
    <w:lvl w:ilvl="4">
      <w:start w:val="0"/>
      <w:numFmt w:val="bullet"/>
      <w:lvlText w:val="•"/>
      <w:lvlJc w:val="left"/>
      <w:pPr>
        <w:ind w:left="4450" w:hanging="721"/>
      </w:pPr>
      <w:rPr>
        <w:rFonts w:hint="default"/>
        <w:lang w:val="en-gb" w:eastAsia="en-gb" w:bidi="en-gb"/>
      </w:rPr>
    </w:lvl>
    <w:lvl w:ilvl="5">
      <w:start w:val="0"/>
      <w:numFmt w:val="bullet"/>
      <w:lvlText w:val="•"/>
      <w:lvlJc w:val="left"/>
      <w:pPr>
        <w:ind w:left="5352" w:hanging="721"/>
      </w:pPr>
      <w:rPr>
        <w:rFonts w:hint="default"/>
        <w:lang w:val="en-gb" w:eastAsia="en-gb" w:bidi="en-gb"/>
      </w:rPr>
    </w:lvl>
    <w:lvl w:ilvl="6">
      <w:start w:val="0"/>
      <w:numFmt w:val="bullet"/>
      <w:lvlText w:val="•"/>
      <w:lvlJc w:val="left"/>
      <w:pPr>
        <w:ind w:left="6255" w:hanging="721"/>
      </w:pPr>
      <w:rPr>
        <w:rFonts w:hint="default"/>
        <w:lang w:val="en-gb" w:eastAsia="en-gb" w:bidi="en-gb"/>
      </w:rPr>
    </w:lvl>
    <w:lvl w:ilvl="7">
      <w:start w:val="0"/>
      <w:numFmt w:val="bullet"/>
      <w:lvlText w:val="•"/>
      <w:lvlJc w:val="left"/>
      <w:pPr>
        <w:ind w:left="7157" w:hanging="721"/>
      </w:pPr>
      <w:rPr>
        <w:rFonts w:hint="default"/>
        <w:lang w:val="en-gb" w:eastAsia="en-gb" w:bidi="en-gb"/>
      </w:rPr>
    </w:lvl>
    <w:lvl w:ilvl="8">
      <w:start w:val="0"/>
      <w:numFmt w:val="bullet"/>
      <w:lvlText w:val="•"/>
      <w:lvlJc w:val="left"/>
      <w:pPr>
        <w:ind w:left="8060" w:hanging="721"/>
      </w:pPr>
      <w:rPr>
        <w:rFonts w:hint="default"/>
        <w:lang w:val="en-gb" w:eastAsia="en-gb" w:bidi="en-gb"/>
      </w:rPr>
    </w:lvl>
  </w:abstract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gb" w:eastAsia="en-gb" w:bidi="en-gb"/>
    </w:rPr>
  </w:style>
  <w:style w:styleId="BodyText" w:type="paragraph">
    <w:name w:val="Body Text"/>
    <w:basedOn w:val="Normal"/>
    <w:uiPriority w:val="1"/>
    <w:qFormat/>
    <w:pPr/>
    <w:rPr>
      <w:rFonts w:ascii="Arial" w:hAnsi="Arial" w:eastAsia="Arial" w:cs="Arial"/>
      <w:sz w:val="22"/>
      <w:szCs w:val="22"/>
      <w:lang w:val="en-gb" w:eastAsia="en-gb" w:bidi="en-gb"/>
    </w:rPr>
  </w:style>
  <w:style w:styleId="Heading1" w:type="paragraph">
    <w:name w:val="Heading 1"/>
    <w:basedOn w:val="Normal"/>
    <w:uiPriority w:val="1"/>
    <w:qFormat/>
    <w:pPr>
      <w:spacing w:before="112"/>
      <w:ind w:left="113"/>
      <w:outlineLvl w:val="1"/>
    </w:pPr>
    <w:rPr>
      <w:rFonts w:ascii="Bommer Slab" w:hAnsi="Bommer Slab" w:eastAsia="Bommer Slab" w:cs="Bommer Slab"/>
      <w:b/>
      <w:bCs/>
      <w:sz w:val="22"/>
      <w:szCs w:val="22"/>
      <w:lang w:val="en-gb" w:eastAsia="en-gb" w:bidi="en-gb"/>
    </w:rPr>
  </w:style>
  <w:style w:styleId="ListParagraph" w:type="paragraph">
    <w:name w:val="List Paragraph"/>
    <w:basedOn w:val="Normal"/>
    <w:uiPriority w:val="1"/>
    <w:qFormat/>
    <w:pPr>
      <w:ind w:left="836"/>
    </w:pPr>
    <w:rPr>
      <w:rFonts w:ascii="Arial" w:hAnsi="Arial" w:eastAsia="Arial" w:cs="Arial"/>
      <w:lang w:val="en-gb" w:eastAsia="en-gb" w:bidi="en-gb"/>
    </w:rPr>
  </w:style>
  <w:style w:styleId="TableParagraph" w:type="paragraph">
    <w:name w:val="Table Paragraph"/>
    <w:basedOn w:val="Normal"/>
    <w:uiPriority w:val="1"/>
    <w:qFormat/>
    <w:pPr>
      <w:spacing w:before="11"/>
      <w:ind w:left="439"/>
    </w:pPr>
    <w:rPr>
      <w:rFonts w:ascii="Arial" w:hAnsi="Arial" w:eastAsia="Arial" w:cs="Arial"/>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footer" Target="footer1.xml"/><Relationship Id="rId10" Type="http://schemas.openxmlformats.org/officeDocument/2006/relationships/hyperlink" Target="http://www.daera-ni.gov.uk/articles/biodiversity-checklist"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2026-07-15T09:56:22Z</dcterms:created>
  <dcterms:modified xsi:type="dcterms:W3CDTF">2026-07-15T09:56:22Z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2026-07-15T00:00:00Z</vt:filetime>
  </property>
  <property fmtid="{D5CDD505-2E9C-101B-9397-08002B2CF9AE}" pid="3" name="Creator">
    <vt:lpwstr>Adobe InDesign 21.4 (Windows)</vt:lpwstr>
  </property>
  <property fmtid="{D5CDD505-2E9C-101B-9397-08002B2CF9AE}" pid="4" name="LastSaved">
    <vt:filetime>2026-07-15T00:00:00Z</vt:filetime>
  </property>
</Properties>
</file>